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0" w:top="0" w:left="0" w:right="0" w:header="720" w:footer="720"/>
          <w:pgNumType w:start="1"/>
        </w:sectPr>
      </w:pPr>
      <w:bookmarkStart w:colFirst="0" w:colLast="0" w:name="_s8vww7u3sfrr" w:id="0"/>
      <w:bookmarkEnd w:id="0"/>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Pestaña 1</w:t>
      </w:r>
      <w:r w:rsidDel="00000000" w:rsidR="00000000" w:rsidRPr="00000000">
        <w:rPr>
          <w:rtl w:val="0"/>
        </w:rPr>
      </w:r>
    </w:p>
    <w:p w:rsidR="00000000" w:rsidDel="00000000" w:rsidP="00000000" w:rsidRDefault="00000000" w:rsidRPr="00000000" w14:paraId="00000002">
      <w:pPr>
        <w:rPr/>
        <w:sectPr>
          <w:headerReference r:id="rId7" w:type="default"/>
          <w:footerReference r:id="rId8" w:type="default"/>
          <w:footerReference r:id="rId9" w:type="first"/>
          <w:type w:val="nextPage"/>
          <w:pgSz w:h="15840" w:w="12240" w:orient="portrait"/>
          <w:pgMar w:bottom="0" w:top="0" w:left="0" w:right="0" w:header="720" w:footer="720"/>
          <w:pgNumType w:start="0"/>
          <w:titlePg w:val="1"/>
        </w:sectPr>
      </w:pPr>
      <w:r w:rsidDel="00000000" w:rsidR="00000000" w:rsidRPr="00000000">
        <w:rPr/>
        <w:drawing>
          <wp:anchor allowOverlap="1" behindDoc="0" distB="114300" distT="114300" distL="114300" distR="114300" hidden="0" layoutInCell="1" locked="0" relativeHeight="0" simplePos="0">
            <wp:simplePos x="0" y="0"/>
            <wp:positionH relativeFrom="margin">
              <wp:align>left</wp:align>
            </wp:positionH>
            <wp:positionV relativeFrom="margin">
              <wp:align>top</wp:align>
            </wp:positionV>
            <wp:extent cx="7772400" cy="10058400"/>
            <wp:effectExtent b="0" l="0" r="0" t="0"/>
            <wp:wrapNone/>
            <wp:docPr id="24" name="image27.jpg"/>
            <a:graphic>
              <a:graphicData uri="http://schemas.openxmlformats.org/drawingml/2006/picture">
                <pic:pic>
                  <pic:nvPicPr>
                    <pic:cNvPr id="0" name="image27.jpg"/>
                    <pic:cNvPicPr preferRelativeResize="0"/>
                  </pic:nvPicPr>
                  <pic:blipFill>
                    <a:blip r:embed="rId10"/>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b w:val="1"/>
          <w:bCs w:val="1"/>
          <w:sz w:val="18"/>
          <w:szCs w:val="18"/>
        </w:rPr>
      </w:pPr>
      <w:r w:rsidDel="00000000" w:rsidR="00000000" w:rsidRPr="00000000">
        <w:rPr>
          <w:rtl w:val="0"/>
        </w:rPr>
      </w:r>
    </w:p>
    <w:p w:rsidR="00000000" w:rsidDel="00000000" w:rsidP="00000000" w:rsidRDefault="00000000" w:rsidRPr="00000000" w14:paraId="00000004">
      <w:pPr>
        <w:rPr>
          <w:b w:val="1"/>
          <w:bCs w:val="1"/>
          <w:sz w:val="18"/>
          <w:szCs w:val="18"/>
        </w:rPr>
      </w:pPr>
      <w:r w:rsidDel="00000000" w:rsidR="00000000" w:rsidRPr="00000000">
        <w:rPr>
          <w:rtl w:val="0"/>
        </w:rPr>
      </w:r>
    </w:p>
    <w:p w:rsidR="00000000" w:rsidDel="00000000" w:rsidP="00000000" w:rsidRDefault="00000000" w:rsidRPr="00000000" w14:paraId="00000005">
      <w:pPr>
        <w:rPr>
          <w:b w:val="1"/>
          <w:bCs w:val="1"/>
          <w:sz w:val="18"/>
          <w:szCs w:val="18"/>
        </w:rPr>
      </w:pPr>
      <w:r w:rsidDel="00000000" w:rsidR="00000000" w:rsidRPr="00000000">
        <w:rPr>
          <w:rtl w:val="0"/>
        </w:rPr>
      </w:r>
    </w:p>
    <w:p w:rsidR="00000000" w:rsidDel="00000000" w:rsidP="00000000" w:rsidRDefault="00000000" w:rsidRPr="00000000" w14:paraId="00000006">
      <w:pPr>
        <w:rPr>
          <w:b w:val="1"/>
          <w:bCs w:val="1"/>
          <w:sz w:val="18"/>
          <w:szCs w:val="18"/>
        </w:rPr>
      </w:pPr>
      <w:r w:rsidDel="00000000" w:rsidR="00000000" w:rsidRPr="00000000">
        <w:rPr>
          <w:rtl w:val="0"/>
        </w:rPr>
      </w:r>
    </w:p>
    <w:p w:rsidR="00000000" w:rsidDel="00000000" w:rsidP="00000000" w:rsidRDefault="00000000" w:rsidRPr="00000000" w14:paraId="00000007">
      <w:pPr>
        <w:rPr>
          <w:b w:val="1"/>
          <w:bCs w:val="1"/>
          <w:sz w:val="18"/>
          <w:szCs w:val="18"/>
        </w:rPr>
      </w:pPr>
      <w:r w:rsidDel="00000000" w:rsidR="00000000" w:rsidRPr="00000000">
        <w:rPr>
          <w:rtl w:val="0"/>
        </w:rPr>
      </w:r>
    </w:p>
    <w:p w:rsidR="00000000" w:rsidDel="00000000" w:rsidP="00000000" w:rsidRDefault="00000000" w:rsidRPr="00000000" w14:paraId="00000008">
      <w:pPr>
        <w:rPr>
          <w:b w:val="1"/>
          <w:bCs w:val="1"/>
          <w:sz w:val="18"/>
          <w:szCs w:val="18"/>
        </w:rPr>
      </w:pPr>
      <w:r w:rsidDel="00000000" w:rsidR="00000000" w:rsidRPr="00000000">
        <w:rPr>
          <w:rtl w:val="0"/>
        </w:rPr>
      </w:r>
    </w:p>
    <w:p w:rsidR="00000000" w:rsidDel="00000000" w:rsidP="00000000" w:rsidRDefault="00000000" w:rsidRPr="00000000" w14:paraId="00000009">
      <w:pPr>
        <w:rPr>
          <w:b w:val="1"/>
          <w:bCs w:val="1"/>
          <w:sz w:val="18"/>
          <w:szCs w:val="18"/>
        </w:rPr>
      </w:pPr>
      <w:r w:rsidDel="00000000" w:rsidR="00000000" w:rsidRPr="00000000">
        <w:rPr>
          <w:rtl w:val="0"/>
        </w:rPr>
      </w:r>
    </w:p>
    <w:p w:rsidR="00000000" w:rsidDel="00000000" w:rsidP="00000000" w:rsidRDefault="00000000" w:rsidRPr="00000000" w14:paraId="0000000A">
      <w:pPr>
        <w:rPr>
          <w:b w:val="1"/>
          <w:bCs w:val="1"/>
          <w:sz w:val="18"/>
          <w:szCs w:val="18"/>
        </w:rPr>
      </w:pPr>
      <w:r w:rsidDel="00000000" w:rsidR="00000000" w:rsidRPr="00000000">
        <w:rPr>
          <w:rtl w:val="0"/>
        </w:rPr>
      </w:r>
    </w:p>
    <w:p w:rsidR="00000000" w:rsidDel="00000000" w:rsidP="00000000" w:rsidRDefault="00000000" w:rsidRPr="00000000" w14:paraId="0000000B">
      <w:pPr>
        <w:rPr>
          <w:b w:val="1"/>
          <w:bCs w:val="1"/>
          <w:sz w:val="18"/>
          <w:szCs w:val="18"/>
        </w:rPr>
      </w:pPr>
      <w:r w:rsidDel="00000000" w:rsidR="00000000" w:rsidRPr="00000000">
        <w:rPr>
          <w:rtl w:val="0"/>
        </w:rPr>
      </w:r>
    </w:p>
    <w:p w:rsidR="00000000" w:rsidDel="00000000" w:rsidP="00000000" w:rsidRDefault="00000000" w:rsidRPr="00000000" w14:paraId="0000000C">
      <w:pPr>
        <w:rPr>
          <w:b w:val="1"/>
          <w:bCs w:val="1"/>
          <w:sz w:val="18"/>
          <w:szCs w:val="18"/>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ind w:right="3832.440944881891"/>
        <w:jc w:val="left"/>
        <w:rPr/>
      </w:pPr>
      <w:commentRangeStart w:id="0"/>
      <w:commentRangeStart w:id="1"/>
      <w:commentRangeStart w:id="2"/>
      <w:commentRangeStart w:id="3"/>
      <w:commentRangeStart w:id="4"/>
      <w:commentRangeStart w:id="5"/>
      <w:r w:rsidDel="00000000" w:rsidR="00000000" w:rsidRPr="00000000">
        <w:rPr>
          <w:b w:val="1"/>
          <w:bCs w:val="1"/>
          <w:sz w:val="28"/>
          <w:szCs w:val="28"/>
          <w:rtl w:val="0"/>
        </w:rPr>
        <w:t xml:space="preserve">Inclusión sostenible de medicamentos en los planes de salud en Chile</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10">
      <w:pPr>
        <w:ind w:right="289.1338582677173"/>
        <w:jc w:val="left"/>
        <w:rPr/>
      </w:pPr>
      <w:r w:rsidDel="00000000" w:rsidR="00000000" w:rsidRPr="00000000">
        <w:rPr>
          <w:rtl w:val="0"/>
        </w:rPr>
        <w:t xml:space="preserve">Espacio Público</w:t>
      </w:r>
    </w:p>
    <w:p w:rsidR="00000000" w:rsidDel="00000000" w:rsidP="00000000" w:rsidRDefault="00000000" w:rsidRPr="00000000" w14:paraId="00000011">
      <w:pPr>
        <w:ind w:right="289.1338582677173"/>
        <w:jc w:val="left"/>
        <w:rPr/>
      </w:pPr>
      <w:r>
        <w:t xml:space="preserve">Mayo de 2026</w:t>
      </w:r>
    </w:p>
    <w:p w:rsidR="00000000" w:rsidDel="00000000" w:rsidP="00000000" w:rsidRDefault="00000000" w:rsidRPr="00000000" w14:paraId="00000012">
      <w:pPr>
        <w:ind w:right="289.1338582677173"/>
        <w:jc w:val="left"/>
        <w:rPr>
          <w:b w:val="1"/>
          <w:bCs w:val="1"/>
        </w:rPr>
      </w:pPr>
      <w:r w:rsidDel="00000000" w:rsidR="00000000" w:rsidRPr="00000000">
        <w:rPr>
          <w:rtl w:val="0"/>
        </w:rPr>
      </w:r>
    </w:p>
    <w:p w:rsidR="00000000" w:rsidDel="00000000" w:rsidP="00000000" w:rsidRDefault="00000000" w:rsidRPr="00000000" w14:paraId="00000013">
      <w:pPr>
        <w:ind w:right="1989.9212598425208"/>
        <w:rPr/>
      </w:pPr>
      <w:r w:rsidDel="00000000" w:rsidR="00000000" w:rsidRPr="00000000">
        <w:rPr>
          <w:rtl w:val="0"/>
        </w:rPr>
        <w:t xml:space="preserve">Este documento fue elaborado por el equipo de salud de Espacio Público, bajo la coordinación de Benjamín García y Eleni Kokkidou. </w:t>
      </w:r>
    </w:p>
    <w:p w:rsidR="00000000" w:rsidDel="00000000" w:rsidP="00000000" w:rsidRDefault="00000000" w:rsidRPr="00000000" w14:paraId="00000014">
      <w:pPr>
        <w:ind w:right="856.0629921259857"/>
        <w:rPr/>
      </w:pPr>
      <w:r w:rsidDel="00000000" w:rsidR="00000000" w:rsidRPr="00000000">
        <w:rPr>
          <w:rtl w:val="0"/>
        </w:rPr>
        <w:t xml:space="preserve">La investigación y la construcción del documento estuvieron a cargo de Martín Illanes. Agradecemos los comentarios y aportes de Eduardo Undurraga, Carla Castillo y de todas las personas que revisaron versiones previas y realizaron sugerencias.</w:t>
      </w:r>
    </w:p>
    <w:p w:rsidR="00000000" w:rsidDel="00000000" w:rsidP="00000000" w:rsidRDefault="00000000" w:rsidRPr="00000000" w14:paraId="00000015">
      <w:pPr>
        <w:ind w:right="289.1338582677173"/>
        <w:rPr/>
      </w:pPr>
      <w:r w:rsidDel="00000000" w:rsidR="00000000" w:rsidRPr="00000000">
        <w:rPr>
          <w:rtl w:val="0"/>
        </w:rPr>
        <w:t xml:space="preserve">Este estudio contó con el apoyo financiero de la </w:t>
      </w:r>
      <w:r w:rsidDel="00000000" w:rsidR="00000000" w:rsidRPr="00000000">
        <w:rPr>
          <w:i w:val="1"/>
          <w:iCs w:val="1"/>
          <w:rtl w:val="0"/>
        </w:rPr>
        <w:t xml:space="preserve">Cámara de Innovación Farmacéutica </w:t>
      </w:r>
      <w:r w:rsidDel="00000000" w:rsidR="00000000" w:rsidRPr="00000000">
        <w:rPr>
          <w:rtl w:val="0"/>
        </w:rPr>
        <w:t xml:space="preserve">(CIF).</w:t>
      </w:r>
    </w:p>
    <w:p w:rsidR="00000000" w:rsidDel="00000000" w:rsidP="00000000" w:rsidRDefault="00000000" w:rsidRPr="00000000" w14:paraId="00000016">
      <w:pPr>
        <w:ind w:right="1706.4566929133866"/>
        <w:rPr/>
      </w:pPr>
      <w:r w:rsidDel="00000000" w:rsidR="00000000" w:rsidRPr="00000000">
        <w:rPr>
          <w:rtl w:val="0"/>
        </w:rPr>
        <w:t xml:space="preserve">El financiador del estudio no participó en la recolección de datos, el análisis, la interpretación de los resultados ni en la redacción del informe.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b w:val="1"/>
          <w:bCs w:val="1"/>
          <w:rtl w:val="0"/>
        </w:rPr>
        <w:t xml:space="preserve">Cómo citar</w:t>
      </w:r>
    </w:p>
    <w:p w:rsidR="00000000" w:rsidDel="00000000" w:rsidP="00000000" w:rsidRDefault="00000000" w:rsidRPr="00000000" w14:paraId="0000001A">
      <w:pPr>
        <w:ind w:left="1417.3228346456694" w:firstLine="0"/>
        <w:rPr/>
      </w:pPr>
      <w:r>
        <w:t xml:space="preserve">Espacio Público (2026). Inclusión sostenible de medicamentos en los planes de salud en Chile. Santiago, Chile: Espacio Público.</w:t>
      </w:r>
    </w:p>
    <w:p w:rsidR="00000000" w:rsidDel="00000000" w:rsidP="00000000" w:rsidRDefault="00000000" w:rsidRPr="00000000" w14:paraId="0000001B">
      <w:pPr>
        <w:pStyle w:val="Heading1"/>
        <w:tabs>
          <w:tab w:val="right" w:leader="none" w:pos="840"/>
        </w:tabs>
        <w:spacing w:after="100" w:before="100" w:lineRule="auto"/>
        <w:ind w:firstLine="1700.7874015748032"/>
        <w:rPr/>
      </w:pPr>
      <w:bookmarkStart w:colFirst="0" w:colLast="0" w:name="_mg3u1dsfqyao" w:id="1"/>
      <w:bookmarkEnd w:id="1"/>
      <w:r w:rsidDel="00000000" w:rsidR="00000000" w:rsidRPr="00000000">
        <w:rPr>
          <w:rtl w:val="0"/>
        </w:rPr>
        <w:t xml:space="preserve">Tabla de contenidos</w:t>
      </w:r>
    </w:p>
    <w:p w:rsidR="00000000" w:rsidDel="00000000" w:rsidP="00000000" w:rsidRDefault="00000000" w:rsidRPr="00000000" w14:paraId="00000094">
      <w:pPr>
        <w:pStyle w:val="Heading1"/>
        <w:tabs>
          <w:tab w:val="right" w:leader="none" w:pos="840"/>
        </w:tabs>
        <w:spacing w:after="100" w:before="100" w:lineRule="auto"/>
        <w:ind w:firstLine="1700.7874015748032"/>
        <w:rPr/>
      </w:pPr>
      <w:commentRangeStart w:id="4001"/>
      <w:bookmarkStart w:colFirst="0" w:colLast="0" w:name="_z8ec1a1xnp36" w:id="9"/>
      <w:bookmarkEnd w:id="9"/>
      <w:r w:rsidDel="00000000" w:rsidR="00000000" w:rsidRPr="00000000">
        <w:rPr>
          <w:rtl w:val="0"/>
        </w:rPr>
        <w:t xml:space="preserve">Mensajes </w:t>
      </w:r>
      <w:commentRangeStart w:id="28"/>
      <w:r w:rsidDel="00000000" w:rsidR="00000000" w:rsidRPr="00000000">
        <w:rPr>
          <w:rtl w:val="0"/>
        </w:rPr>
        <w:t xml:space="preserve">clave</w:t>
      </w:r>
      <w:commentRangeEnd w:id="28"/>
      <w:r w:rsidDel="00000000" w:rsidR="00000000" w:rsidRPr="00000000">
        <w:commentReference w:id="28"/>
      </w:r>
      <w:r w:rsidDel="00000000" w:rsidR="00000000" w:rsidRPr="00000000">
        <w:rPr>
          <w:rtl w:val="0"/>
        </w:rPr>
      </w:r>
      <w:commentRangeEnd w:id="4001"/>
      <w:r>
        <w:rPr>
          <w:rStyle w:val="CommentReference"/>
        </w:rPr>
        <w:commentReference w:id="4001"/>
      </w:r>
    </w:p>
    <w:p w:rsidR="00000000" w:rsidDel="00000000" w:rsidP="00000000" w:rsidRDefault="00000000" w:rsidRPr="00000000" w14:paraId="00000095">
      <w:pPr>
        <w:rPr>
          <w:b w:val="1"/>
          <w:bCs w:val="1"/>
          <w:highlight w:val="yellow"/>
        </w:rPr>
      </w:pPr>
      <w:r w:rsidDel="00000000" w:rsidR="00000000" w:rsidRPr="00000000">
        <w:rPr>
          <w:rtl w:val="0"/>
        </w:rPr>
      </w:r>
    </w:p>
    <w:p w:rsidR="00000000" w:rsidDel="00000000" w:rsidP="00000000" w:rsidRDefault="00000000" w:rsidRPr="00000000" w14:paraId="00000096">
      <w:pPr>
        <w:rPr>
          <w:b w:val="1"/>
          <w:bCs w:val="1"/>
          <w:highlight w:val="yellow"/>
        </w:rPr>
      </w:pPr>
      <w:r w:rsidDel="00000000" w:rsidR="00000000" w:rsidRPr="00000000">
        <w:rPr>
          <w:rtl w:val="0"/>
        </w:rPr>
      </w:r>
    </w:p>
    <w:p w:rsidR="00000000" w:rsidDel="00000000" w:rsidP="00000000" w:rsidRDefault="00000000" w:rsidRPr="00000000" w14:paraId="00000097">
      <w:pPr>
        <w:numPr>
          <w:ilvl w:val="0"/>
          <w:numId w:val="126"/>
        </w:numPr>
        <w:spacing w:after="400" w:lineRule="auto"/>
        <w:ind w:left="1133.858267716535" w:hanging="708.6614173228343"/>
        <w:rPr/>
      </w:pPr>
    </w:p>
    <w:p>
      <w:pPr>
        <w:rPr/>
      </w:pPr>
      <w:r>
        <w:rPr>
          <w:rtl w:val="0"/>
        </w:rPr>
        <w:t xml:space="preserve">Chile tiene una brecha significativa de protección financiera en medicamentos. El gasto de bolsillo es alto en comparación internacional, y el componente farmacéutico ambulatorio explica una fracción central de la exposición financiera de los hogares. La diferencia estructural con los países OCDE no está en el nivel de precios, sino en que los medicamentos ambulatorios no forman parte del plan de salud común: solo se cubren a través de regímenes específicos.</w:t>
      </w:r>
    </w:p>
    <w:p>
      <w:pPr>
        <w:rPr/>
      </w:pPr>
      <w:r>
        <w:t xml:space="preserve">La magnitud de la brecha responde al diseño más que al nivel de precios. Los programas existentes (GES, Ley Ricarte Soto, DAC, FOFAR) ofrecen coberturas importantes pero acotadas por perímetros clínicos o institucionales. Fuera de esos perímetros, el gasto recae principalmente en los hogares a través del canal retail. En países del cluster OCDE que han reducido el gasto de bolsillo, en cambio, los medicamentos ambulatorios tienen una cobertura con reglas comunes, listas positivas explícitas y protección financiera con topes anuales.</w:t>
      </w:r>
    </w:p>
    <w:p>
      <w:pPr>
        <w:rPr/>
      </w:pPr>
      <w:r>
        <w:rPr>
          <w:rtl w:val="0"/>
        </w:rPr>
        <w:t xml:space="preserve">Los instrumentos vigentes ofrecen coberturas valiosas pero acotadas por perímetros clínicos o institucionales:</w:t>
      </w:r>
    </w:p>
    <w:p w:rsidR="00000000" w:rsidDel="00000000" w:rsidP="00000000" w:rsidRDefault="00000000" w:rsidRPr="00000000" w14:paraId="00000098">
      <w:pPr>
        <w:numPr>
          <w:ilvl w:val="0"/>
          <w:numId w:val="126"/>
        </w:numPr>
        <w:spacing w:after="200" w:lineRule="auto"/>
        <w:ind w:left="1133.858267716535" w:hanging="708.6614173228343"/>
        <w:rPr/>
      </w:pPr>
      <w:commentRangeStart w:id="1003"/>
      <w:commentRangeEnd w:id="1003"/>
    </w:p>
    <w:p>
      <w:pPr>
        <w:rPr/>
      </w:pPr>
      <w:r>
        <w:rPr>
          <w:rtl w:val="0"/>
        </w:rPr>
        <w:t xml:space="preserve">GES (87 problemas de salud) cubre los medicamentos asociados a las garantías, pero solo dentro del listado de patologías y bajo reglas de copago por tramo Fonasa. No cubre el agregado de medicamentos crónicos fuera del listado GES.</w:t>
      </w:r>
    </w:p>
    <w:p w:rsidR="00000000" w:rsidDel="00000000" w:rsidP="00000000" w:rsidRDefault="00000000" w:rsidRPr="00000000" w14:paraId="00000099">
      <w:pPr>
        <w:spacing w:after="0" w:lineRule="auto"/>
        <w:ind w:left="1984.251968503937" w:hanging="555"/>
        <w:rPr/>
      </w:pPr>
    </w:p>
    <w:p>
      <w:pPr>
        <w:rPr/>
      </w:pPr>
      <w:r>
        <w:rPr>
          <w:rtl w:val="0"/>
        </w:rPr>
        <w:t xml:space="preserve">Ley Ricarte Soto (LRS) entrega cobertura financiera integral para 27 patologías de alto costo (Decreto 4°/2019, 65.351 personas acumuladas a 2024). Por diseño es un mecanismo de excepción para riesgo catastrófico; su perímetro está acotado a un conjunto cerrado de patologías.</w:t>
      </w:r>
    </w:p>
    <w:p w:rsidR="00000000" w:rsidDel="00000000" w:rsidP="00000000" w:rsidRDefault="00000000" w:rsidRPr="00000000" w14:paraId="0000009A">
      <w:pPr>
        <w:spacing w:after="400" w:lineRule="auto"/>
        <w:ind w:left="1984.251968503937" w:hanging="555"/>
        <w:rPr/>
      </w:pPr>
    </w:p>
    <w:p>
      <w:pPr>
        <w:rPr/>
      </w:pPr>
      <w:r>
        <w:rPr>
          <w:rtl w:val="0"/>
        </w:rPr>
        <w:t xml:space="preserve">Drogas de Alto Costo (DAC, Glosa 11) financia oncológicos no incluidos en GES ni LRS vía solicitud caso a caso, con perímetro discrecional según disponibilidad presupuestaria anual.</w:t>
      </w:r>
    </w:p>
    <w:p w:rsidR="00000000" w:rsidDel="00000000" w:rsidP="00000000" w:rsidRDefault="00000000" w:rsidRPr="00000000" w14:paraId="0000009B">
      <w:pPr>
        <w:numPr>
          <w:ilvl w:val="0"/>
          <w:numId w:val="126"/>
        </w:numPr>
        <w:spacing w:after="400" w:lineRule="auto"/>
        <w:ind w:left="1133.858267716535" w:hanging="708.6614173228343"/>
        <w:rPr/>
      </w:pPr>
      <w:commentRangeStart w:id="1007"/>
      <w:commentRangeEnd w:id="1007"/>
    </w:p>
    <w:p>
      <w:pPr>
        <w:rPr/>
      </w:pPr>
      <w:r>
        <w:rPr>
          <w:rtl w:val="0"/>
        </w:rPr>
        <w:t xml:space="preserve">FOFAR y Arsenal Farmacológico garantizan medicamentos esenciales para hipertensión, diabetes y dislipidemia en APS, pero solo para beneficiarios Fonasa con atención efectiva en la red pública. La continuidad depende del stock local.</w:t>
      </w:r>
    </w:p>
    <w:p w:rsidR="00000000" w:rsidDel="00000000" w:rsidP="00000000" w:rsidRDefault="00000000" w:rsidRPr="00000000" w14:paraId="0000009C">
      <w:pPr>
        <w:numPr>
          <w:ilvl w:val="0"/>
          <w:numId w:val="126"/>
        </w:numPr>
        <w:spacing w:after="400" w:lineRule="auto"/>
        <w:ind w:left="1133.858267716535" w:hanging="708.6614173228343"/>
        <w:rPr/>
      </w:pPr>
    </w:p>
    <w:p>
      <w:pPr>
        <w:rPr/>
      </w:pPr>
      <w:r>
        <w:rPr>
          <w:rtl w:val="0"/>
        </w:rPr>
        <w:t xml:space="preserve">CAEC (Isapre) opera sobre el deducible catastrófico y cubre la porción farmacéutica solo cuando se gatilla, sin lista cerrada ni cifra agregada publicada.</w:t>
      </w:r>
    </w:p>
    <w:p w:rsidR="00000000" w:rsidDel="00000000" w:rsidP="00000000" w:rsidRDefault="00000000" w:rsidRPr="00000000" w14:paraId="0000009D">
      <w:pPr>
        <w:numPr>
          <w:ilvl w:val="0"/>
          <w:numId w:val="126"/>
        </w:numPr>
        <w:spacing w:after="400" w:lineRule="auto"/>
        <w:ind w:left="1133.858267716535" w:hanging="708.6614173228343"/>
        <w:rPr/>
      </w:pPr>
    </w:p>
    <w:p>
      <w:pPr>
        <w:rPr/>
      </w:pPr>
      <w:r>
        <w:rPr>
          <w:rtl w:val="0"/>
        </w:rPr>
        <w:t xml:space="preserve">Fuera de estos perímetros, el gasto recae en los hogares a través del canal retail. La EPF 2021-2022 indica que 21,8% de los hogares destina más del 10% de su ingreso per cápita a medicamentos, y el peso es regresivo: 80% de los hogares del primer quintil declara gasto en medicamentos, frente a 20% del quinto quintil que no declara.</w:t>
      </w:r>
    </w:p>
    <w:p w:rsidR="00000000" w:rsidDel="00000000" w:rsidP="00000000" w:rsidRDefault="00000000" w:rsidRPr="00000000" w14:paraId="0000009E">
      <w:pPr>
        <w:numPr>
          <w:ilvl w:val="0"/>
          <w:numId w:val="126"/>
        </w:numPr>
        <w:spacing w:after="400" w:lineRule="auto"/>
        <w:ind w:left="1133.858267716535" w:hanging="708.6614173228343"/>
        <w:rPr/>
      </w:pPr>
      <w:r>
        <w:t xml:space="preserve">El informe profundiza en uno de los tres escenarios analizados, el de convergencia intermedia con el cluster OCDE. Su eje estructural sería un Beneficio Farmacéutico Universal (BFU), aplicable a beneficiarios de FONASA e ISAPRE bajo reglas comunes, con lista positiva, copagos protegidos, topes anuales y mecanismos de dispensación y pago consistentes con la sostenibilidad y la gestión de precios. El Capítulo 7 lo desarrolla en detalle como insumo para el debate, sin zanjar preferencias entre los escenarios analizados.</w:t>
      </w:r>
    </w:p>
    <w:p>
      <w:pPr>
        <w:rPr/>
      </w:pPr>
      <w:r>
        <w:rPr>
          <w:rtl w:val="0"/>
        </w:rPr>
        <w:t xml:space="preserve">El gasto de bolsillo responde a dos lógicas distintas: el segmento ambulatorio de alto volumen (crónicos y uso frecuente), donde el riesgo es acumulativo y las fallas de continuidad afectan adherencia, y el segmento de alto costo, donde el riesgo es catastrófico. La etiqueta "alto costo" puede coexistir con alta prevalencia: el cáncer, primera causa de muerte en Chile, combina alta carga poblacional con tratamientos de costo elevado.</w:t>
      </w:r>
    </w:p>
    <w:p w:rsidR="00000000" w:rsidDel="00000000" w:rsidP="00000000" w:rsidRDefault="00000000" w:rsidRPr="00000000" w14:paraId="0000009F">
      <w:pPr>
        <w:numPr>
          <w:ilvl w:val="0"/>
          <w:numId w:val="126"/>
        </w:numPr>
        <w:spacing w:after="400" w:lineRule="auto"/>
        <w:ind w:left="1133.858267716535" w:hanging="708.6614173228343"/>
        <w:rPr/>
      </w:pPr>
      <w:r>
        <w:t xml:space="preserve">Una implementación gradual, informada por evidencia y sostenida en el tiempo resulta coherente con la experiencia internacional. Supone reforzar las reglas de priorización (evaluación de tecnologías sanitarias), la gobernanza e interoperabilidad de datos, y un diseño que integre incentivos a la sustitución por DCI y bioequivalentes, instrumentos de negociación y compra pública, y medidas de mitigación de riesgos operacionales.</w:t>
      </w:r>
    </w:p>
    <w:p>
      <w:pPr>
        <w:rPr/>
      </w:pPr>
      <w:r>
        <w:rPr>
          <w:rtl w:val="0"/>
        </w:rPr>
        <w:t xml:space="preserve">La judicialización vía recursos de protección representó MM$ 81.000 en 2024, equivalente al 5,3% del gasto público en medicamentos. Conviene leerla como síntoma de vacíos del beneficio explícito; su crecimiento sostenido sugiere un problema estructural de diseño antes que un canal regular.</w:t>
      </w:r>
    </w:p>
    <w:p w:rsidR="00000000" w:rsidDel="00000000" w:rsidP="00000000" w:rsidRDefault="00000000" w:rsidRPr="00000000" w14:paraId="000000A0">
      <w:pPr>
        <w:numPr>
          <w:ilvl w:val="0"/>
          <w:numId w:val="126"/>
        </w:numPr>
        <w:spacing w:after="400" w:lineRule="auto"/>
        <w:ind w:left="1133.858267716535" w:hanging="708.6614173228343"/>
        <w:rPr/>
      </w:pPr>
      <w:r>
        <w:t xml:space="preserve">En un horizonte de mediano plazo, el beneficio debería traducirse en protección financiera verificable. Esto supone reglas explícitas, transparencia en la ejecución, monitoreo continuo del impacto presupuestario, del acceso efectivo, de la adherencia y de la equidad distributiva, y ajustes periódicos de la canasta en función de la evidencia.</w:t>
      </w:r>
    </w:p>
    <w:p>
      <w:pPr>
        <w:rPr/>
      </w:pPr>
      <w:r>
        <w:rPr>
          <w:rtl w:val="0"/>
        </w:rPr>
        <w:t xml:space="preserve">La comparación internacional muestra un patrón consistente pero heterogéneo. Varios países OCDE que han reducido el gasto de bolsillo combinan listas positivas explícitas, evaluación de tecnologías sanitarias, mecanismos sistemáticos de compra y negociación, y copagos protegidos con topes anuales. Otros países OCDE comparten un arreglo distinto, con clusters que muestran balances diversos entre cobertura, copago y financiamiento.</w:t>
      </w:r>
    </w:p>
    <w:p>
      <w:pPr>
        <w:numPr>
          <w:ilvl w:val="0"/>
          <w:numId w:val="126"/>
        </w:numPr>
        <w:spacing w:after="400" w:lineRule="auto"/>
        <w:ind w:left="1133.858267716535" w:hanging="708.6614173228343"/>
        <w:rPr/>
      </w:pPr>
      <w:r>
        <w:t xml:space="preserve">La judicialización de la cobertura, cuando ocurre, conviene interpretarla como síntoma de vacíos del beneficio explícito; su crecimiento sostenido sugiere un problema estructural de diseño. Una canasta adecuada, reglas transparentes y plazos predecibles son las vías para reducir el recurso a tribunales como primer camino a medicamentos de alto costo. Las experiencias comparadas muestran que la protección financiera sostenible descansa en beneficios explícitos, no en litigios caso a caso.</w:t>
      </w:r>
    </w:p>
    <w:p>
      <w:pPr>
        <w:rPr/>
      </w:pPr>
      <w:r>
        <w:rPr>
          <w:rtl w:val="0"/>
        </w:rPr>
        <w:t xml:space="preserve">El informe analiza tres escenarios con trade-offs entre protección financiera y esfuerzo fiscal: ajuste acotado con techo catastrófico (E1, 0,6% PIB), convergencia intermedia hacia el cluster OCDE (E2, 0,7-0,75% PIB) y convergencia alta hacia el cuartil superior OCDE (E3, 1,4% PIB). El Capítulo 7 desarrolla en detalle un Beneficio Farmacéutico Universal (BFU) como ejercicio analítico del Escenario 2.</w:t>
      </w:r>
    </w:p>
    <w:p>
      <w:pPr>
        <w:numPr>
          <w:ilvl w:val="0"/>
          <w:numId w:val="126"/>
        </w:numPr>
        <w:spacing w:after="400" w:lineRule="auto"/>
        <w:ind w:left="1133.858267716535" w:hanging="708.6614173228343"/>
        <w:rPr/>
      </w:pPr>
      <w:r>
        <w:t xml:space="preserve">El diseño del beneficio debería tener un canal explícito para la incorporación de terapias innovadoras con valor sanitario demostrado. Los últimos años han traído tratamientos que cambian la trayectoria de la enfermedad en oncología, enfermedades metabólicas, fibrosis quística y terapias génicas de alto costo. La ausencia de un canal ordinario de evaluación, negociación e incorporación deja a los hogares expuestos y empuja al sistema hacia soluciones caso a caso (judicialización, uso compasivo, programas excepcionales). Un beneficio con evaluación de tecnologías sanitarias sistemática, acuerdos de acceso gestionado y mecanismos de riesgo compartido resulta, desde la evidencia comparada, el arreglo más consistente con la doble exigencia de acceso y sostenibilidad.</w:t>
      </w:r>
    </w:p>
    <w:p>
      <w:pPr>
        <w:rPr/>
      </w:pPr>
      <w:r>
        <w:rPr>
          <w:rtl w:val="0"/>
        </w:rPr>
        <w:t xml:space="preserve">Si Chile decidiera converger hacia el cluster OCDE que ha reducido el gasto de bolsillo, eso requeriría múltiples condiciones que se detallan en el documento: canasta explícita y revisable, copagos con topes anuales, dispensación con trazabilidad, capacidad institucional de evaluación de tecnologías sanitarias, gobernanza de datos interoperable, política de precios y compras articulada con la cobertura, transparencia, monitoreo, y gradualidad fiscal sostenible.</w:t>
      </w:r>
    </w:p>
    <w:p w:rsidR="00000000" w:rsidDel="00000000" w:rsidP="00000000" w:rsidRDefault="00000000" w:rsidRPr="00000000" w14:paraId="000000A2">
      <w:pPr>
        <w:pStyle w:val="Heading1"/>
        <w:keepNext w:val="0"/>
        <w:keepLines w:val="0"/>
        <w:tabs>
          <w:tab w:val="right" w:leader="none" w:pos="840"/>
        </w:tabs>
        <w:spacing w:after="100" w:before="100" w:lineRule="auto"/>
        <w:ind w:left="0" w:firstLine="0"/>
        <w:rPr/>
      </w:pPr>
      <w:commentRangeStart w:id="4002"/>
      <w:bookmarkStart w:colFirst="0" w:colLast="0" w:name="_d26dak2i55o2" w:id="11"/>
      <w:bookmarkEnd w:id="11"/>
      <w:r w:rsidDel="00000000" w:rsidR="00000000" w:rsidRPr="00000000">
        <w:rPr>
          <w:rtl w:val="0"/>
        </w:rPr>
        <w:t xml:space="preserve">Resumen ejecutivo</w:t>
      </w:r>
      <w:commentRangeEnd w:id="4002"/>
      <w:r>
        <w:rPr>
          <w:rStyle w:val="CommentReference"/>
        </w:rPr>
        <w:commentReference w:id="4002"/>
      </w:r>
    </w:p>
    <w:p w:rsidR="00000000" w:rsidDel="00000000" w:rsidP="00000000" w:rsidRDefault="00000000" w:rsidRPr="00000000" w14:paraId="000000A3">
      <w:pPr>
        <w:rPr>
          <w:highlight w:val="yellow"/>
        </w:rPr>
      </w:pPr>
      <w:r w:rsidDel="00000000" w:rsidR="00000000" w:rsidRPr="00000000">
        <w:rPr>
          <w:rtl w:val="0"/>
        </w:rPr>
      </w:r>
    </w:p>
    <w:p w:rsidR="00000000" w:rsidDel="00000000" w:rsidP="00000000" w:rsidRDefault="00000000" w:rsidRPr="00000000" w14:paraId="000000A4">
      <w:pPr>
        <w:rPr/>
      </w:pPr>
    </w:p>
    <w:p>
      <w:pPr>
        <w:rPr/>
      </w:pPr>
      <w:r>
        <w:rPr>
          <w:rtl w:val="0"/>
        </w:rPr>
        <w:t xml:space="preserve">Este informe analiza el acceso a medicamentos en Chile y la protección financiera de los hogares frente al gasto farmacéutico, con foco en su inclusión sostenible en los planes de salud. El análisis combina caracterización institucional, cuantificación del gasto público y privado, comparación con sistemas OCDE y construcción de tres escenarios de reforma. El documento es un insumo para la deliberación: caracteriza el problema, ordena alternativas y plantea preguntas abiertas, sin adoptar una recomendación única.</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bCs w:val="1"/>
        </w:rPr>
      </w:pPr>
    </w:p>
    <w:p>
      <w:pPr>
        <w:rPr/>
      </w:pPr>
      <w:r>
        <w:rPr>
          <w:rtl w:val="0"/>
        </w:rPr>
        <w:t xml:space="preserve">Magnitud del problema y su naturaleza dual</w:t>
      </w:r>
    </w:p>
    <w:p w:rsidR="00000000" w:rsidDel="00000000" w:rsidP="00000000" w:rsidRDefault="00000000" w:rsidRPr="00000000" w14:paraId="000000A7">
      <w:pPr>
        <w:rPr/>
      </w:pPr>
    </w:p>
    <w:p>
      <w:pPr>
        <w:rPr/>
      </w:pPr>
      <w:r>
        <w:rPr>
          <w:rtl w:val="0"/>
        </w:rPr>
        <w:t xml:space="preserve">El gasto público total en medicamentos representa cerca de 0,46% del PIB en 2024 (CIF/UC, 2025), agregando programas de Fonasa, Servicios de Salud, APS, PNI, LRS, DAC y judicialización. Una cifra alternativa, 0,34% del PIB en 2022, surge del System of Health Accounts de la OECD (HF1/HC51) y se restringe al gasto público en medicamentos ambulatorios retail-only. Las dos cifras son válidas y miden cosas distintas: la primera incluye medicamentos hospitalarios y vacunas; la segunda permite comparación internacional homogénea pero deja fuera componentes relevantes para el debate doméstico. El informe usa 0,46% como referencia principal y reporta 0,34% en los cuadros comparados.</w:t>
      </w:r>
    </w:p>
    <w:p w:rsidR="00000000" w:rsidDel="00000000" w:rsidP="00000000" w:rsidRDefault="00000000" w:rsidRPr="00000000" w14:paraId="000000A8">
      <w:pPr>
        <w:rPr/>
      </w:pPr>
      <w:r>
        <w:t xml:space="preserve">Primero, los medicamentos ambulatorios de alto volumen, donde se concentra una parte sustantiva de la carga cotidiana para los hogares: terapias crónicas y de uso frecuente (por ejemplo, hipertensión, diabetes, dislipidemia, asma, salud mental), además de fármacos de uso común. En este segmento, el riesgo financiero es acumulativo: las compras pequeñas pero repetidas erosionan el presupuesto familiar, aumentan la probabilidad de no adherencia y amplifican inequidades, especialmente en hogares de menores ingresos y personas mayores. Cuando la provisión pública no cubre una necesidad terapéutica, sea por brechas de canasta o por discontinuidades de stock, la demanda se desplaza al canal retail (farmacia privada, farmacia comunitaria o farmacia municipal), donde los hogares absorben la mayor parte del gasto.</w:t>
      </w:r>
    </w:p>
    <w:p>
      <w:pPr>
        <w:rPr/>
      </w:pPr>
      <w:r>
        <w:rPr>
          <w:rtl w:val="0"/>
        </w:rPr>
        <w:t xml:space="preserve">La doble cifra del gasto de bolsillo (62% y 71%) tiene una explicación análoga. Una refleja la proporción del gasto total en salud que pagan los hogares según el sistema OECD SHA, e incluye copagos hospitalarios, ambulatorios y medicamentos. La otra acota el cálculo al canal de medicamentos ambulatorios retail según la encuesta nacional de presupuestos familiares y el sistema de cuentas de salud. Ambas son correctas; cada una responde a una pregunta distinta. Lo que el lector debe retener es el orden de magnitud: el gasto de bolsillo en Chile está sustancialmente por sobre el promedio OCDE, y los medicamentos ambulatorios son una de sus componentes principales.</w:t>
      </w:r>
    </w:p>
    <w:p w:rsidR="00000000" w:rsidDel="00000000" w:rsidP="00000000" w:rsidRDefault="00000000" w:rsidRPr="00000000" w14:paraId="000000A9">
      <w:pPr>
        <w:rPr/>
      </w:pPr>
    </w:p>
    <w:p>
      <w:pPr>
        <w:rPr/>
      </w:pPr>
      <w:r>
        <w:rPr>
          <w:rtl w:val="0"/>
        </w:rPr>
        <w:t xml:space="preserve">La carga sobre los hogares es regresiva. La Encuesta de Presupuestos Familiares 2021-2022 muestra que 21,8% de los hogares destina más del 10% del ingreso per cápita a medicamentos, y que el primer quintil tiene una probabilidad mucho mayor de declarar gasto que el quinto (80% versus 20% sin gasto declarado). Esta regresividad se concentra en hogares con personas mayores y con condiciones crónicas, donde los gastos pequeños y repetidos erosionan el presupuesto familiar y elevan el riesgo de no adherencia.</w:t>
      </w:r>
    </w:p>
    <w:p>
      <w:pPr>
        <w:rPr/>
      </w:pPr>
      <w:commentRangeStart w:id="4007"/>
      <w:r>
        <w:t xml:space="preserve">Ambos frentes responden a lógicas distintas de riesgo financiero y requieren, por lo tanto, instrumentos diferenciados. El frente ambulatorio de alto volumen opera bajo riesgo acumulativo y se trata mejor con beneficios continuos (canasta explícita, copagos protegidos y topes anuales). El frente de alto costo opera bajo riesgo catastrófico y se trata mejor con regímenes específicos (protección financiera integral y evaluación ex ante). Un beneficio farmacéutico ambulatorio universal no sustituye a los regímenes de alto costo (GES, Ley Ricarte Soto, DAC); los complementa cubriendo los vacíos del segmento ambulatorio frecuente, donde se concentra el gasto de bolsillo recurrente.</w:t>
      </w:r>
      <w:commentRangeEnd w:id="4007"/>
    </w:p>
    <w:p>
      <w:pPr>
        <w:rPr/>
      </w:pPr>
      <w:r>
        <w:rPr>
          <w:rtl w:val="0"/>
        </w:rPr>
        <w:t xml:space="preserve">La judicialización vía recursos de protección representó MM$ 81.000 en 2024, equivalente al 5,3% del gasto público en medicamentos. Su crecimiento sostenido sugiere que la vía judicial está supliendo, en una fracción significativa de casos, la ausencia de un canal ordinario de incorporación y financiamiento. La judicialización funciona como mecanismo de excepción, y su escala actual indica un problema estructural de diseño. La evidencia comparada muestra que los sistemas con beneficios explícitos y reglas de actualización transparentes reducen el recurso a tribunales; los sistemas con cobertura ambigua o discrecional tienden a desplazar la decisión hacia el poder judicial.</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3"/>
        <w:keepNext w:val="0"/>
        <w:keepLines w:val="0"/>
        <w:ind w:left="0" w:firstLine="0"/>
        <w:rPr>
          <w:sz w:val="26"/>
          <w:szCs w:val="26"/>
        </w:rPr>
      </w:pPr>
      <w:bookmarkStart w:colFirst="0" w:colLast="0" w:name="_qxaqj6urfki6" w:id="12"/>
      <w:bookmarkEnd w:id="12"/>
      <w:r w:rsidDel="00000000" w:rsidR="00000000" w:rsidRPr="00000000">
        <w:br w:type="page"/>
      </w:r>
      <w:r w:rsidDel="00000000" w:rsidR="00000000" w:rsidRPr="00000000">
        <w:rPr>
          <w:rtl w:val="0"/>
        </w:rPr>
      </w:r>
    </w:p>
    <w:p w:rsidR="00000000" w:rsidDel="00000000" w:rsidP="00000000" w:rsidRDefault="00000000" w:rsidRPr="00000000" w14:paraId="000000AC">
      <w:pPr>
        <w:rPr>
          <w:b w:val="1"/>
          <w:bCs w:val="1"/>
        </w:rPr>
      </w:pPr>
    </w:p>
    <w:p>
      <w:pPr>
        <w:rPr/>
      </w:pPr>
      <w:r>
        <w:rPr>
          <w:rtl w:val="0"/>
        </w:rPr>
        <w:t xml:space="preserve">El gasto de bolsillo responde a dos lógicas distintas que conviene tratar con instrumentos diferenciados. La primera es el segmento ambulatorio de alto volumen (terapias crónicas y de uso frecuente como hipertensión, diabetes, dislipidemia, asma, salud mental), donde el riesgo es acumulativo: las compras pequeñas pero repetidas erosionan el presupuesto familiar, aumentan la probabilidad de no adherencia y amplifican inequidades, especialmente en hogares con personas mayores. La segunda es el segmento de alto costo, donde el riesgo es catastrófico y existe en Chile un instrumento robusto (Ley Ricarte Soto) cuyo alcance, por diseño, es acotado. La etiqueta "alto costo" puede coexistir con alta prevalencia: el cáncer, primera causa de muerte en Chile, combina alta carga poblacional con tratamientos de costo elevado. Cada lógica de riesgo requiere instrumentos distintos: los regímenes de excepción siguen siendo necesarios para el riesgo catastrófico, y resultan insuficientes para cubrir el gasto recurrente del segmento ambulatorio.</w:t>
      </w:r>
    </w:p>
    <w:p w:rsidR="00000000" w:rsidDel="00000000" w:rsidP="00000000" w:rsidRDefault="00000000" w:rsidRPr="00000000" w14:paraId="000000AD">
      <w:pPr>
        <w:rPr/>
      </w:pPr>
      <w:commentRangeStart w:id="39"/>
      <w:commentRangeEnd w:id="39"/>
    </w:p>
    <w:p>
      <w:pPr>
        <w:rPr/>
      </w:pPr>
      <w:r>
        <w:rPr>
          <w:rtl w:val="0"/>
        </w:rPr>
        <w:t xml:space="preserve">Arquitectura institucional fragmentada</w:t>
      </w:r>
    </w:p>
    <w:p w:rsidR="00000000" w:rsidDel="00000000" w:rsidP="00000000" w:rsidRDefault="00000000" w:rsidRPr="00000000" w14:paraId="000000AE">
      <w:pPr>
        <w:numPr>
          <w:ilvl w:val="0"/>
          <w:numId w:val="2"/>
        </w:numPr>
        <w:ind w:left="720" w:hanging="360"/>
        <w:jc w:val="left"/>
        <w:rPr/>
      </w:pPr>
    </w:p>
    <w:p>
      <w:pPr>
        <w:rPr/>
      </w:pPr>
      <w:r>
        <w:rPr>
          <w:rtl w:val="0"/>
        </w:rPr>
        <w:t xml:space="preserve">Chile cuenta con instrumentos valiosos de cobertura, con perímetros acotados. GES garantiza tratamiento para 87 problemas de salud con copago por tramo Fonasa, e incluye los medicamentos asociados a esas garantías. Ley Ricarte Soto entrega cobertura integral para 27 patologías de alto costo (65.351 personas acumuladas a 2024). DAC (Glosa 11) financia oncológicos no incluidos en GES ni LRS mediante solicitudes caso a caso. FOFAR y Arsenal Farmacológico garantizan medicamentos esenciales en APS para hipertensión, diabetes y dislipidemia. CAEC opera en Isapre sobre el deducible catastrófico y cubre la porción farmacéutica sin lista cerrada ni cifra agregada publicada.</w:t>
      </w:r>
    </w:p>
    <w:p w:rsidR="00000000" w:rsidDel="00000000" w:rsidP="00000000" w:rsidRDefault="00000000" w:rsidRPr="00000000" w14:paraId="000000AF">
      <w:pPr>
        <w:numPr>
          <w:ilvl w:val="0"/>
          <w:numId w:val="2"/>
        </w:numPr>
        <w:ind w:left="720" w:hanging="360"/>
        <w:jc w:val="left"/>
        <w:rPr/>
      </w:pPr>
    </w:p>
    <w:p>
      <w:pPr>
        <w:rPr/>
      </w:pPr>
      <w:r>
        <w:rPr>
          <w:rtl w:val="0"/>
        </w:rPr>
        <w:t xml:space="preserve">Estos instrumentos fueron diseñados como respuestas focalizadas a problemas específicos: garantías por patología, alto costo, atención primaria crónica, deducible catastrófico. Su conjunto deja sin cobertura sistemática al segmento ambulatorio crónico fuera de GES, a las terapias innovadoras sin canal ordinario de incorporación, y al gasto recurrente de menor cuantía pero alta frecuencia. Adicionalmente, el reporte presupuestario de los componentes farmacéuticos de GES Fonasa, GES Isapre y CAEC no se publica de forma agregada, lo que dificulta el monitoreo y la rendición de cuentas.</w:t>
      </w:r>
    </w:p>
    <w:p w:rsidR="00000000" w:rsidDel="00000000" w:rsidP="00000000" w:rsidRDefault="00000000" w:rsidRPr="00000000" w14:paraId="000000B0">
      <w:pPr>
        <w:numPr>
          <w:ilvl w:val="0"/>
          <w:numId w:val="2"/>
        </w:numPr>
        <w:ind w:left="720" w:hanging="360"/>
        <w:jc w:val="left"/>
        <w:rPr/>
      </w:pPr>
    </w:p>
    <w:p>
      <w:pPr>
        <w:rPr/>
      </w:pPr>
      <w:r>
        <w:rPr>
          <w:rtl w:val="0"/>
        </w:rPr>
        <w:t xml:space="preserve">La cobertura efectiva depende además del canal de dispensación. La provisión pública (APS, hospitales, Cenabast) garantiza copago cero pero está sujeta a disponibilidad y stock. Cuando hay quiebres de continuidad, la demanda se desplaza al retail privado, donde los hogares absorben el costo. Esta brecha entre cobertura nominal y acceso efectivo es uno de los hallazgos más sólidos del diagnóstico. La continuidad operativa de la red pública es, en este sentido, una variable de protección financiera: cada falla de stock se traduce en gasto de bolsillo no previsto en el diseño formal del sistema.</w:t>
      </w:r>
    </w:p>
    <w:p w:rsidR="00000000" w:rsidDel="00000000" w:rsidP="00000000" w:rsidRDefault="00000000" w:rsidRPr="00000000" w14:paraId="000000B1">
      <w:pPr>
        <w:rPr/>
      </w:pPr>
    </w:p>
    <w:p>
      <w:pPr>
        <w:rPr/>
      </w:pPr>
      <w:r>
        <w:rPr>
          <w:rtl w:val="0"/>
        </w:rPr>
        <w:t xml:space="preserve">Comparación internacional</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bCs w:val="1"/>
        </w:rPr>
      </w:pPr>
    </w:p>
    <w:p>
      <w:pPr>
        <w:rPr/>
      </w:pPr>
      <w:r>
        <w:rPr>
          <w:rtl w:val="0"/>
        </w:rPr>
        <w:t xml:space="preserve">La revisión de sistemas OCDE muestra un patrón heterogéneo, organizado en clusters según el balance entre cobertura, copago y financiamiento. Varios países OCDE que han reducido sostenidamente el gasto de bolsillo en medicamentos comparten cuatro componentes: una lista positiva nacional o por aseguradora con reglas explícitas; un mecanismo de evaluación de tecnologías sanitarias para incorporación y actualización; estrategias sistemáticas de compras y negociación de precios; y un diseño de copagos protegidos con topes anuales por persona u hogar. Estos componentes operan sobre receta electrónica, sistemas interoperables y herramientas de transparencia. Otros países OCDE muestran arquitecturas distintas, y la trayectoria histórica de cada sistema importa para entender sus resultados.</w:t>
      </w:r>
    </w:p>
    <w:p w:rsidR="00000000" w:rsidDel="00000000" w:rsidP="00000000" w:rsidRDefault="00000000" w:rsidRPr="00000000" w14:paraId="000000B4">
      <w:pPr>
        <w:rPr/>
      </w:pPr>
    </w:p>
    <w:p>
      <w:pPr>
        <w:rPr/>
      </w:pPr>
      <w:r>
        <w:rPr>
          <w:rtl w:val="0"/>
        </w:rPr>
        <w:t xml:space="preserve">Los modelos comparados difieren en aspectos relevantes que el debate chileno debe considerar. Algunos sistemas centralizan la evaluación de tecnologías y la incorporación de medicamentos en una agencia con poder vinculante (en la línea del NICE británico o del IQWiG-G-BA alemán); otros mantienen una comisión asesora cuyas recomendaciones se traducen en decisiones administrativas de la autoridad sanitaria. Algunos sistemas privilegian la dispensación pública directa (sistemas escandinavos), otros operan con farmacia privada y reembolso (sistemas continentales europeos), y otros usan modelos híbridos. La estructura de copagos también varía: copagos fijos por receta, copagos porcentuales escalonados, o copagos cero con tope agregado. La revisión comparada del Capítulo 5 ordena estas alternativas como insumo para identificar opciones aplicables al caso chileno.</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B7">
      <w:pPr>
        <w:rPr>
          <w:b w:val="1"/>
          <w:bCs w:val="1"/>
        </w:rPr>
      </w:pPr>
    </w:p>
    <w:p>
      <w:pPr>
        <w:rPr/>
      </w:pPr>
      <w:r>
        <w:rPr>
          <w:rtl w:val="0"/>
        </w:rPr>
        <w:t xml:space="preserve">Tres escenarios y la profundización analítica</w:t>
      </w:r>
    </w:p>
    <w:p w:rsidR="00000000" w:rsidDel="00000000" w:rsidP="00000000" w:rsidRDefault="00000000" w:rsidRPr="00000000" w14:paraId="000000B8">
      <w:pPr>
        <w:rPr/>
      </w:pPr>
    </w:p>
    <w:p>
      <w:pPr>
        <w:rPr/>
      </w:pPr>
      <w:r>
        <w:rPr>
          <w:rtl w:val="0"/>
        </w:rPr>
        <w:t xml:space="preserve">El informe construye tres escenarios para ilustrar trade-offs entre protección financiera y esfuerzo fiscal. Escenario 1 plantea un ajuste gradual con techo catastrófico, contiene gasto extremo sin transformar el sistema, y supone un esfuerzo fiscal del orden de 0,6% del PIB. Escenario 2 plantea una convergencia intermedia hacia el cluster OCDE, con beneficio farmacéutico ambulatorio universal de reglas comunes, copagos protegidos y topes, y supone un esfuerzo fiscal de 0,7 a 0,75% del PIB. Escenario 3 plantea una convergencia alta hacia el cuartil superior OCDE, con un esfuerzo fiscal del orden de 1,4% del PIB.</w:t>
      </w:r>
    </w:p>
    <w:p w:rsidR="00000000" w:rsidDel="00000000" w:rsidP="00000000" w:rsidRDefault="00000000" w:rsidRPr="00000000" w14:paraId="000000B9">
      <w:pPr>
        <w:numPr>
          <w:ilvl w:val="0"/>
          <w:numId w:val="84"/>
        </w:numPr>
        <w:ind w:left="720" w:hanging="360"/>
        <w:jc w:val="left"/>
        <w:rPr/>
      </w:pPr>
    </w:p>
    <w:p>
      <w:pPr>
        <w:rPr/>
      </w:pPr>
      <w:r>
        <w:rPr>
          <w:rtl w:val="0"/>
        </w:rPr>
        <w:t xml:space="preserve">Cada escenario tiene un perfil distinto en términos de protección financiera esperada, viabilidad institucional, gradualidad fiscal y dependencia de habilitantes (gobernanza, datos, capacidad de compras). El informe no zanja una preferencia: presenta la matriz de trade-offs como insumo para la deliberación.</w:t>
      </w:r>
    </w:p>
    <w:p w:rsidR="00000000" w:rsidDel="00000000" w:rsidP="00000000" w:rsidRDefault="00000000" w:rsidRPr="00000000" w14:paraId="000000BA">
      <w:pPr>
        <w:numPr>
          <w:ilvl w:val="0"/>
          <w:numId w:val="84"/>
        </w:numPr>
        <w:ind w:left="720" w:hanging="360"/>
        <w:jc w:val="left"/>
        <w:rPr/>
      </w:pPr>
    </w:p>
    <w:p>
      <w:pPr>
        <w:rPr/>
      </w:pPr>
      <w:r>
        <w:rPr>
          <w:rtl w:val="0"/>
        </w:rPr>
        <w:t xml:space="preserve">El Capítulo 7 desarrolla en detalle el Beneficio Farmacéutico Universal (BFU) como zoom analítico del Escenario 2. El propósito del zoom es hacer tangibles las decisiones de diseño que tendría que tomar cualquier reforma de magnitud comparable: cómo se construiría una canasta, qué estructura de copagos podría aplicarse, qué tope sería sostenible (la calibración EPF sugiere 13-15% del ingreso per cápita o $70.000 CLP/mes para un presupuesto de USD 800-900M anuales, comparado con la Belastungsgrenze alemana de 2% del ingreso), qué modalidades de dispensación serían viables, y qué condiciones habilitantes resultarían necesarias. El BFU sirve como caso analítico ilustrativo y deja abierta la elección entre los tres escenarios.</w:t>
      </w:r>
    </w:p>
    <w:p w:rsidR="00000000" w:rsidDel="00000000" w:rsidP="00000000" w:rsidRDefault="00000000" w:rsidRPr="00000000" w14:paraId="000000BB">
      <w:pPr>
        <w:numPr>
          <w:ilvl w:val="0"/>
          <w:numId w:val="84"/>
        </w:numPr>
        <w:ind w:left="720" w:hanging="360"/>
        <w:jc w:val="left"/>
        <w:rPr/>
      </w:pPr>
    </w:p>
    <w:p>
      <w:pPr>
        <w:rPr/>
      </w:pPr>
      <w:r>
        <w:rPr>
          <w:rtl w:val="0"/>
        </w:rPr>
        <w:t xml:space="preserve">La calibración del tope sobre datos EPF muestra una progresividad esperable: con un presupuesto de USD 600M anuales el tope sería del orden de 20% del ingreso per cápita, con USD 1.000M se ubicaría cerca del 8% y con USD 2.000M se aproximaría a un subsidio total. Esta gradiente permite entender que la decisión sobre el nivel de protección financiera tiene una correspondencia directa con el esfuerzo fiscal y con el grado de gradualidad. La elección entre escenarios, en consecuencia, se traduce en parámetros cuantificables que el documento expone para informar la deliberación.</w:t>
      </w:r>
    </w:p>
    <w:p w:rsidR="00000000" w:rsidDel="00000000" w:rsidP="00000000" w:rsidRDefault="00000000" w:rsidRPr="00000000" w14:paraId="000000BC">
      <w:pPr>
        <w:rPr/>
      </w:pPr>
    </w:p>
    <w:p>
      <w:pPr>
        <w:rPr/>
      </w:pPr>
      <w:r>
        <w:rPr>
          <w:rtl w:val="0"/>
        </w:rPr>
        <w:t xml:space="preserve">Horizontes de reforma</w:t>
      </w:r>
    </w:p>
    <w:p w:rsidR="00000000" w:rsidDel="00000000" w:rsidP="00000000" w:rsidRDefault="00000000" w:rsidRPr="00000000" w14:paraId="000000BD">
      <w:pPr>
        <w:pStyle w:val="Heading3"/>
        <w:keepNext w:val="0"/>
        <w:keepLines w:val="0"/>
        <w:ind w:left="0" w:firstLine="0"/>
        <w:rPr>
          <w:sz w:val="26"/>
          <w:szCs w:val="26"/>
        </w:rPr>
      </w:pPr>
      <w:bookmarkStart w:colFirst="0" w:colLast="0" w:name="_uqgnena6o72z" w:id="13"/>
      <w:bookmarkEnd w:id="13"/>
      <w:r w:rsidDel="00000000" w:rsidR="00000000" w:rsidRPr="00000000">
        <w:rPr>
          <w:rtl w:val="0"/>
        </w:rPr>
      </w:r>
    </w:p>
    <w:p w:rsidR="00000000" w:rsidDel="00000000" w:rsidP="00000000" w:rsidRDefault="00000000" w:rsidRPr="00000000" w14:paraId="000000BE">
      <w:pPr>
        <w:rPr>
          <w:b w:val="1"/>
          <w:bCs w:val="1"/>
        </w:rPr>
      </w:pPr>
      <w:r>
        <w:t xml:space="preserve">Opción desarrollada: Beneficio Farmacéutico Universal (BFU)</w:t>
      </w:r>
    </w:p>
    <w:p>
      <w:pPr>
        <w:rPr/>
      </w:pPr>
      <w:r>
        <w:rPr>
          <w:rtl w:val="0"/>
        </w:rPr>
        <w:t xml:space="preserve">Las medidas analizadas se distribuyen en tres horizontes según el marco institucional que requieren. En el corto plazo, se identifican medidas implementables con instrumentos vigentes (ampliación del Arsenal Farmacológico en APS, fortalecimiento de compras agregadas vía Cenabast, prescripción por Denominación Común Internacional, mejoras en receta electrónica interoperable). En el mediano plazo, medidas que requieren ajustes regulatorios (institucionalización de evaluación de tecnologías sanitarias, actualización de listados GES y LRS con criterios explícitos, regulación de márgenes en retail, certificación efectiva de bioequivalencia, publicación agregada de cifras presupuestarias farmacéuticas hoy ausentes). En el largo plazo, rediseños sistémicos del aseguramiento (beneficio farmacéutico ambulatorio universal, integración del canal retail bajo modalidad POS con conciliación automática, convergencia entre subsistemas incluyendo Fuerzas Armadas y de Orden). La tabla del apartado 8.1 detalla responsable institucional, costo aproximado y dependencias para cada horizonte.</w:t>
      </w:r>
    </w:p>
    <w:p w:rsidR="00000000" w:rsidDel="00000000" w:rsidP="00000000" w:rsidRDefault="00000000" w:rsidRPr="00000000" w14:paraId="000000BF">
      <w:pPr>
        <w:rPr/>
      </w:pPr>
      <w:r>
        <w:t xml:space="preserve">Beneficio Farmacéutico Universal</w:t>
      </w:r>
    </w:p>
    <w:p>
      <w:pPr>
        <w:rPr/>
      </w:pPr>
      <w:r>
        <w:rPr>
          <w:rtl w:val="0"/>
        </w:rPr>
        <w:t xml:space="preserve">Preguntas abiertas para el debate</w:t>
      </w:r>
    </w:p>
    <w:p w:rsidR="00000000" w:rsidDel="00000000" w:rsidP="00000000" w:rsidRDefault="00000000" w:rsidRPr="00000000" w14:paraId="000000C0">
      <w:pPr>
        <w:numPr>
          <w:ilvl w:val="0"/>
          <w:numId w:val="62"/>
        </w:numPr>
        <w:ind w:left="720" w:hanging="360"/>
        <w:jc w:val="left"/>
        <w:rPr/>
      </w:pPr>
      <w:commentRangeStart w:id="43"/>
      <w:commentRangeEnd w:id="43"/>
    </w:p>
    <w:p>
      <w:pPr>
        <w:rPr/>
      </w:pPr>
      <w:r>
        <w:rPr>
          <w:rtl w:val="0"/>
        </w:rPr>
        <w:t xml:space="preserve">El cierre del informe ordena el debate en torno a un conjunto de preguntas filosófico-políticas que no admiten respuesta técnica unívoca. Entre ellas, la unidad del tope (persona u hogar), el rol de las farmacias en la dispensación (provisión pública, farmacia con compensación, devolución vía SII), la proporción público-privada en la provisión, el tratamiento de bioequivalentes y sustitución, los criterios de priorización en la canasta (costo-efectividad, gravedad, prevalencia, equidad), el carácter vinculante de la institucionalidad de evaluación de tecnologías sanitarias y el modelo de gobernanza de Cenabast. Cada una se desarrolla en el Capítulo 8 con el contexto que la hace difícil de zanjar.</w:t>
      </w:r>
    </w:p>
    <w:p w:rsidR="00000000" w:rsidDel="00000000" w:rsidP="00000000" w:rsidRDefault="00000000" w:rsidRPr="00000000" w14:paraId="000000C1">
      <w:pPr>
        <w:numPr>
          <w:ilvl w:val="0"/>
          <w:numId w:val="62"/>
        </w:numPr>
        <w:ind w:left="720" w:hanging="360"/>
        <w:jc w:val="left"/>
        <w:rPr/>
      </w:pPr>
    </w:p>
    <w:p>
      <w:pPr>
        <w:rPr/>
      </w:pPr>
      <w:r>
        <w:rPr>
          <w:rtl w:val="0"/>
        </w:rPr>
        <w:t xml:space="preserve">Estas preguntas tienen un carácter político en sentido riguroso: requieren ponderar valores en conflicto (eficiencia agregada y autonomía individual, simplicidad administrativa y equidad horizontal, despolitización técnica y responsabilidad democrática). Reconocer este carácter es, en sí mismo, un aporte del informe a la deliberación: explicita que las decisiones aquí planteadas son normativas, y entrega a los actores del debate el espacio legítimo para tomar posición.</w:t>
      </w:r>
    </w:p>
    <w:p w:rsidR="00000000" w:rsidDel="00000000" w:rsidP="00000000" w:rsidRDefault="00000000" w:rsidRPr="00000000" w14:paraId="000000C2">
      <w:pPr>
        <w:numPr>
          <w:ilvl w:val="0"/>
          <w:numId w:val="62"/>
        </w:numPr>
        <w:ind w:left="720" w:hanging="360"/>
        <w:jc w:val="left"/>
        <w:rPr/>
      </w:pPr>
    </w:p>
    <w:p>
      <w:pPr>
        <w:rPr/>
      </w:pPr>
      <w:r>
        <w:rPr>
          <w:rtl w:val="0"/>
        </w:rPr>
        <w:t xml:space="preserve">Cierre</w:t>
      </w:r>
    </w:p>
    <w:p w:rsidR="00000000" w:rsidDel="00000000" w:rsidP="00000000" w:rsidRDefault="00000000" w:rsidRPr="00000000" w14:paraId="000000C3">
      <w:pPr>
        <w:numPr>
          <w:ilvl w:val="0"/>
          <w:numId w:val="62"/>
        </w:numPr>
        <w:ind w:left="720" w:hanging="360"/>
        <w:jc w:val="left"/>
        <w:rPr/>
      </w:pPr>
    </w:p>
    <w:p>
      <w:pPr>
        <w:rPr/>
      </w:pPr>
      <w:r>
        <w:rPr>
          <w:rtl w:val="0"/>
        </w:rPr>
        <w:t xml:space="preserve">Este informe entrega un diagnóstico institucional y cuantitativo del problema, una comparación internacional, tres escenarios con sus trade-offs, una profundización analítica del Escenario 2 a través del BFU y un conjunto de preguntas para la discusión. Su propósito es ser un insumo para el debate técnico y político que requiere la inclusión sostenible de medicamentos en los planes de salud chilenos. Las decisiones de diseño y secuenciamiento corresponden a actores públicos, privados y ciudadanos cuyas preferencias el documento no busca anticipar. La evidencia comparada y los datos disponibles son condición necesaria para deliberar bien, y resultan insuficientes por sí solas para decidir.</w:t>
      </w:r>
    </w:p>
    <w:p w:rsidR="00000000" w:rsidDel="00000000" w:rsidP="00000000" w:rsidRDefault="00000000" w:rsidRPr="00000000" w14:paraId="000000C4">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C5">
      <w:pPr>
        <w:rPr>
          <w:b w:val="1"/>
          <w:bCs w:val="1"/>
        </w:rPr>
      </w:pPr>
    </w:p>
    <w:p w:rsidR="00000000" w:rsidDel="00000000" w:rsidP="00000000" w:rsidRDefault="00000000" w:rsidRPr="00000000" w14:paraId="000000C6">
      <w:pPr>
        <w:rPr/>
      </w:pPr>
    </w:p>
    <w:p w:rsidR="00000000" w:rsidDel="00000000" w:rsidP="00000000" w:rsidRDefault="00000000" w:rsidRPr="00000000" w14:paraId="000000C7">
      <w:pPr>
        <w:rPr/>
      </w:pPr>
    </w:p>
    <w:p w:rsidR="00000000" w:rsidDel="00000000" w:rsidP="00000000" w:rsidRDefault="00000000" w:rsidRPr="00000000" w14:paraId="000000C8">
      <w:pPr>
        <w:jc w:val="left"/>
        <w:rPr/>
      </w:pPr>
      <w:r w:rsidDel="00000000" w:rsidR="00000000" w:rsidRPr="00000000">
        <w:br w:type="page"/>
      </w:r>
      <w:r w:rsidDel="00000000" w:rsidR="00000000" w:rsidRPr="00000000">
        <w:rPr>
          <w:rtl w:val="0"/>
        </w:rPr>
      </w:r>
    </w:p>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arla Castillo" w:id="27" w:date="2026-01-12T14:22:00Z">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[C-CC-DOCX27] Esto es solo retail, verdad? https://www.oecd.org/content/dam/oecd/en/publications/reports/2023/11/health-at-a-glance-2023_e04f8239/7a7afb35-en.pdf De ser asi, creo que habria que precisarlo.</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agrega nota metodológica explícita aclarando que los datos OCDE de gasto en medicamentos (incluyendo el 78% OOP (2021) y el US$455 PPA per cápita (2023)) corresponden exclusivamente al canal ambulatorio/farmacia y excluyen medicamentos administrados en el sector hospitalario e institucional. La precisión es necesaria para evitar comparaciones distorsionadas.</w:t>
      </w:r>
    </w:p>
  </w:comment>
  <w:comment w:author="Eduardo Undurraga" w:id="41" w:date="2026-01-27T00:00:00Z">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[C-EU-SUG38] Reemplazar: 'cluster intermedio' por 'conjunto de paises OCDE de proteccion farmaceutica intermedia' (evitar jargon)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reemplazo de 'cluster intermedio' por 'conjunto de países OCDE de protección farmacéutica intermedia' se aplica en el texto.</w:t>
      </w:r>
    </w:p>
  </w:comment>
  <w:comment w:author="Carla Castillo" w:id="75" w:date="2026-01-12T16:36:00Z">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[C-CC-DOCX129] A traves de programas o del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Se deja explícitamente abierto. El texto actual permite múltiples combinaciones y así se explicita: 'El cierre de brechas puede implementarse vía programas públicos (expansión GES, Ricarte Soto, DAC), vía retail (ampliación de canasta cubierta con subsidio POS), o mediante un mix de ambos canales'. Los escenarios del Cap 6 ilustran órdenes de magnitud fiscal según estas alternativas, pero no prescriben un mix específico: esa es una decisión de diseño que depende de capacidad logística, preferencias de cobertura y condiciones de oferta en cada canal. Se ajusta el párrafo para reflejar esta apertura.</w:t>
      </w:r>
    </w:p>
  </w:comment>
  <w:comment w:author="Carla Castillo" w:id="50" w:date="2026-01-09T16:44:00Z">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[C-CC-DOCX29] las personas tambien serian ejecutoras,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Las personas son ejecutoras del gasto en la dimensión del gasto de bolsillo (compras directas en farmacia, copagos, gastos no cubiertos). Se ajusta el listado de ejecutores para incluir a los hogares como actor ejecutor en el segmento de gasto privado y de bolsillo, diferenciándolo de los ejecutores institucionales (Servicios de Salud, PNI, LRS, Municipios).</w:t>
      </w:r>
    </w:p>
  </w:comment>
  <w:comment w:author="Eduardo Undurraga" w:id="35" w:date="2026-01-27T00:00:00Z">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[C-EU-SUG40] Reemplazar: 'experiencia' por 'evidencia' (mas riguroso)</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resuelve la duplicación 'evidencia experiencia' conservando 'evidencia': connota datos y estudios sistemáticos revisados, frente a 'experiencia' que puede leerse como relato práctico sin respaldo empírico sistemático. Mayor rigor académico sin cambio argumental.</w:t>
      </w:r>
    </w:p>
  </w:comment>
  <w:comment w:author="Carla Castillo" w:id="76" w:date="2026-01-12T16:38:00Z">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[C-CC-DOCX131] Si el beneficio es para las compras en retail, podria haber trasvasije desde gasto publico institucional a gasto publico en retail? (ejemplo, personas que ahora reciben el beneficio en APS comienzan a comprar en retail debido a nuevas coberturas)? Esto podria aumentar el gasto por sobre lo esperado, dependiendo de la magnitud de este efecto claro...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riesgo es correcto y debe incorporarse explícitamente en el diseño del beneficio: (i) personas que hoy retiran gratuitamente en APS podrían migrar al retail con copago si la cobertura retail mejora demasiado, generando mayor gasto fiscal sin mejora sanitaria; (ii) ISAPRE podrían trasladar medicamentos hoy cubiertos por sus planes hacia el beneficio público, aumentando el gasto estatal. Para mitigar: (a) definir copagos en retail que mantengan incentivo relativo para usar la dispensación institucional cuando está disponible, (b) monitorear patrones de migración con datos administrativos, (c) establecer reglas de coordinación con ISAPRE para que el beneficio opere como piso, no sustituto de su cobertura. Se incorpora riesgo específico de implementación en la sección de 'Riesgos y mitigación' del Cap 7.</w:t>
      </w:r>
    </w:p>
  </w:comment>
  <w:comment w:author="Carla Castillo" w:id="42" w:date="2026-01-09T16:35:00Z">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 En FONASA aplicara en MLE o MAI?</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En FONASA, el Beneficio Farmacéutico Ambulatorio aplicaría tanto a la Modalidad de Atención Institucional (MAI) como a la Modalidad de Libre Elección (MLE), con una misma canasta y reglas de copago comunes. La trazabilidad se apoya en el RUT del beneficiario: tanto las prescripciones electrónicas como las dispensaciones quedan asociadas al RUT, lo que permite acumular el gasto sujeto al tope con independencia del canal utilizado. La diferencia operativa está en el punto de dispensación, no en la cobertura o en los copagos.</w:t>
      </w:r>
    </w:p>
  </w:comment>
  <w:comment w:author="Eduardo Undurraga" w:id="33" w:date="2026-01-27T00:00:00Z">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[C-EU-SUG36] Reemplazar: 'muestra' por 'comparada sugiere' (mas cauteloso, menos prescriptivo)</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resuelve la duplicación 'evidencia experiencia internacional comparada sugiere muestra' conservando 'sugiere': es epistemológicamente más apropiado para conclusiones de revisión comparada donde la causalidad no está establecida experimentalmente, y es consistente con la postura editorial de no prescribir políticas específicas.</w:t>
      </w:r>
    </w:p>
  </w:comment>
  <w:comment w:author="Carla Castillo" w:id="47" w:date="2026-01-09T16:37:00Z">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[C-CC-DOCX19] Por que solo Ricarte Soto?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texto se amplía para incluir explícitamente que los regímenes de cobertura de alto costo en Chile son un conjunto: GES, Ley Ricarte Soto, Diagnóstico de Alto Costo (DAC) y Fondo de Farmacia (FOFAR). LRS se menciona como ejemplo paradigmático de alto costo y baja prevalencia, pero no es el único instrumento. Se ajusta la redacción para evitar sugerir que LRS es sinónimo de cobertura de alto costo en Chile.</w:t>
      </w:r>
    </w:p>
  </w:comment>
  <w:comment w:author="Eduardo Undurraga" w:id="39" w:date="2026-01-27T00:00:00Z">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[C-EU-SUG37] Agregar: 'y coordinada' (sobre implementacion)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acepta la sugerencia de Eduardo, manteniendo 'simultánea y coordinadamente' como estaba en el texto. La observación confirma la redacción actual.</w:t>
      </w:r>
    </w:p>
  </w:comment>
  <w:comment w:author="Carla Castillo" w:id="74" w:date="2026-01-12T16:35:00Z">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[C-CC-DOCX123] Como se definiria esto para beneficiarios ISAPRE en que no hay APS?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Para afiliados ISAPRE, que en general no acceden a dispensación en APS salvo excepciones (convenios de libre elección, prestaciones GES), el canal principal del BFAU sería farmacias privadas con sistema POS (punto de venta) donde el subsidio se aplica en el momento de la compra. Las clínicas privadas no operan como dispensadores ambulatorios generales, por lo que el esquema equivalente a la APS no aplica directamente. Se agrega al texto: 'Para afiliados ISAPRE, la dispensación operaría principalmente en el canal retail con aplicación automática del subsidio en farmacia adherida al sistema. La red mínima de farmacias adheridas sería definida en el reglamento del beneficio, garantizando cobertura territorial equivalente'.</w:t>
      </w:r>
    </w:p>
  </w:comment>
  <w:comment w:author="Carla Castillo" w:id="61" w:date="2026-01-12T16:02:00Z">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[C-CC-DOCX58] Para esto me parece que primero se deberia avanzar en una politica universal de sustitucion (con exigencias de bioequivalencia o biosimilaridad mucho mas amplia que el listado actual).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sustitución obligatoria por bioequivalente requiere como condición previa o simultánea una política universal de sustitución con listados ampliados de bioequivalencia y biosimilaridad. El listado ISP actual es acotado y no cubre universos terapéuticos completos; la ampliación es una pieza técnica fundamental para que la política de precios de referencia funcione. Se incorpora párrafo específico en la sección 7.4.3 (Sustitución genérica/bioequivalencia) planteando la ampliación del listado ISP como condición habilitante, junto con certificación obligatoria para todos los medicamentos de síntesis química y estándares explícitos para biosimilares.</w:t>
      </w:r>
    </w:p>
  </w:comment>
  <w:comment w:author="Carla Castillo" w:id="52" w:date="2026-01-09T16:46:00Z">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[C-CC-DOCX33] Aca (y en el anterior) muchas veces se entregan medicamentos de alto costo,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farmacia hospitalaria ambulatoria es canal primario de dispensación de medicamentos de alto costo: cobertura GES de patologías hospitalarias, Ley Ricarte Soto, DAC oncológico y quimioterapia ambulatoria. Se ajusta la redacción para evitar el binarismo retail privado / hospital: el arsenal hospitalario incluye medicamentos de alto costo que se dispensan ambulatoriamente.</w:t>
      </w:r>
    </w:p>
  </w:comment>
  <w:comment w:author="Carla Castillo" w:id="62" w:date="2026-01-12T16:13:00Z">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[C-CC-DOCX72] En este caso tambien se entregan los medicamentos sin criterios sanitarios y, por lo tanto, con potenciales perdidas de eficiencia considerables...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observación es central y se explicita en el texto: la judicialización opera frecuentemente sin criterio sanitario homogéneo, lo que introduce decisiones de cobertura sin evaluación técnica previa, con pérdidas potenciales en costo-efectividad y equidad. Según el informe CIF (2025), la judicialización es un problema creciente en magnitud y presupuesto. La propuesta del BFAU, con canasta explícita y proceso HTA/ETESA robusto, busca reducir la necesidad de recurrir a tribunales fortaleciendo el mecanismo formal de priorización técnica del MINSAL. Se incorpora esta tensión en la sección 3.2.6 como eje argumental: la judicialización es síntoma de falla institucional, no solución.</w:t>
      </w:r>
    </w:p>
  </w:comment>
  <w:comment w:author="Carla Castillo" w:id="54" w:date="2026-01-09T16:48:00Z">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[C-CC-DOCX37] Mayoritariamente varia solo entre FONASA (cero) e ISAPRE (20% del arancel de referencia, aunque operan deducibles definidos por ley).</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precisado. El copago GES varía por subsistema: en FONASA depende del tramo del beneficiario (A y B = 0% del valor garantizado; C = 10%; D = 20%). En ISAPRE el copago es 20% del arancel de referencia, aunque operan deducibles anuales definidos por ley para problemas de alto costo. Se actualiza la redacción con estas cifras precisas.</w:t>
      </w:r>
    </w:p>
  </w:comment>
  <w:comment w:author="Carla Castillo" w:id="51" w:date="2026-01-09T16:44:00Z">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[C-CC-DOCX30] publica?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observación apunta a una distinción importante: la cobertura nominal no garantiza acceso efectivo. Aun cuando el medicamento esté formalmente cubierto por la red pública, existen barreras de disponibilidad (quiebres de stock), dispensación (capacidad de las farmacias hospitalarias o APS) y de red (derivaciones, filas, tiempos de espera) que empujan al paciente a comprarlo fuera del canal protegido: retail privado, importación personal, o judicialización. Se agrega esta aclaración al párrafo y se articula con la sección sobre judicialización (3.2.6).</w:t>
      </w:r>
    </w:p>
  </w:comment>
  <w:comment w:author="Eduardo Undurraga" w:id="36" w:date="2026-01-27T00:00:00Z">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[C-EU-SUG41] Agregar: ', por brechas de canasta' (concepto faltante)</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confirma la inserción de ', por brechas de canasta' como concepto técnico explícito. Fortalece la precisión terminológica del resumen sin alterar la línea argumental; el concepto ya estaba reflejado en el texto rastreado.</w:t>
      </w:r>
    </w:p>
  </w:comment>
  <w:comment w:author="Carla Castillo" w:id="58" w:date="2026-01-12T14:48:00Z">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[C-CC-DOCX54] MLE? como se articularia con las coberturas en MAI, con los distintos programas?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El Beneficio Farmacéutico Ambulatorio Universal (BFAU) opera independientemente de la modalidad MLE/MAI de FONASA: aplica a ambas con canasta y copagos comunes. La diferencia operativa está en el punto de dispensación (APS/hospital en MAI; farmacia retail en MLE), pero las reglas de cobertura, copagos protegidos y tope anual son homogéneas. La articulación con los programas específicos (GES, LRS, DAC, FOFAR) se da por jerarquía: cuando un medicamento está cubierto por un régimen específico, se aplican las reglas de ese régimen; el BFAU actúa como piso para medicamentos fuera de esos regímenes.</w:t>
      </w:r>
    </w:p>
  </w:comment>
  <w:comment w:author="Eduardo Undurraga" w:id="7" w:date="2026-03-30T00:00:00Z">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[C-EU-EMAIL1] Mantendria la discusion un poco mas de alto vuelo. Le bajaria el tono a la parte de gastos de retail que pagan las familias, porque es algo relativamente micro y depende mucho del arreglo institucional que tiene el sistema de salud. Lo que queda en el retail en Chile es lo que no esta cubierto por el sistema de salud, entonces no es raro que la proporcion de pago sea alta. La comparacion con UK por ejemplo no es tan directa porque alla el NHS tiene convenios con el retail, etc. Lo mismo con el enfasis actual de la Ricarte Soto, que es solo una forma de cobertura entre muchas otras.</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Los datos base son correctos (78% gasto OOP retail, 2021, OECD confirmado) y se mantienen, pero se añade nota metodológica contextualizando que ese porcentaje refleja el diseño del aseguramiento chileno y no es directamente comparable con UK sin precisar los convenios NHS-retail. La comparación queda encuadrada como hallazgo sobre arquitectura institucional, no como evidencia de falla sistémica aislada.</w:t>
      </w:r>
    </w:p>
  </w:comment>
  <w:comment w:author="CIF (Francisca Rodriguez)" w:id="17" w:date="2026-03-18T18:18:00Z">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[C-CIF10] Hay secciones que no parecen cerradas, problemas de orden y la conclusion requiere mayor analisis.</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El diagnóstico tiene base: sección 2.4 estaba como placeholder vacío y el capítulo de conclusiones no estaba cerrado al momento de la revisión. La incorporación de DAC en 2.4 (E-C-CIF1) y la corrección de cifras del ledger (E-C-CIF11) abordan parte del problema. El reordenamiento editorial y el cierre del capítulo final se coordinarán con Eduardo y Carla antes del envío definitivo.</w:t>
      </w:r>
    </w:p>
  </w:comment>
  <w:comment w:author="CIF (Francisca Rodriguez)" w:id="18" w:date="2026-03-18T18:18:00Z">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[C-CIF14] Ordenar claramente que medidas podrian implementarse sin reforma legal mayor, cuales requieren ajustes regulatorios o institucionales y cuales suponen redisenos sistemicos del aseguramiento.</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reorganizar el capítulo 8 clasificando las medidas en tres niveles de habilitación (sin reforma legal mayor, ajuste regulatorio o institucional, y rediseño sistémico del aseguramiento) lo que aumenta directamente la utilidad operativa para policy-makers. La reorganización estructural del capítulo supera los umbrales de cambio estimados; a confirmar con Eduardo y Carla antes de implementar.</w:t>
      </w:r>
    </w:p>
  </w:comment>
  <w:comment w:author="Eduardo Undurraga" w:id="19" w:date="2026-03-30T00:00:00Z">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[C-EU-EMAIL2] Seria mucho menos prescriptivo en el informe. EP no puede jugarse en una solucion sino que nuestro rol es mostrar evidencia y datos, y los policymakers deben buscar que es la mejor solucion al problema. Cerrar el reporte con un capitulo sobre conclusiones generales del seminario de discusion, donde podremos analizar y conversar sobre las alternativas de politicas publica para avanzar en este problema. Dejamos como un blueprint general de problema y potenciales soluciones, pero sin alinearnos con ninguna.</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Se ajusta el lenguaje del capítulo 7 de prescriptivo ('se recomienda', 'proponemos') a deliberativo ('una opción es', 'los trade-offs entre X e Y', 'preguntas que el sistema deberá resolver'), alineando el rol de EP como productor de evidencia. La propuesta de cerrar con conclusiones del seminario de discusión se difiere: requiere definición de formato y alcance por parte de Eduardo y Carla.</w:t>
      </w:r>
    </w:p>
  </w:comment>
  <w:comment w:author="Carla Castillo" w:id="20" w:date="2026-03-30T00:00:00Z">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[C-CC-EMAIL1] Seria mucho mejor cerrar el reporte con un capitulo sobre conclusiones generales del seminario de discusion, donde podremos analizar y conversar sobre las alternativas de politicas publica. Los cambios y sugerencias especificas estan en el documento adjunto con track changes.</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El señalamiento converge con la orientación de Eduardo: cerrar el documento con conclusiones generales derivadas del seminario de discusión. Propuesta intermedia: incluir un capítulo de 'conclusiones provisorias + preguntas abiertas para el seminario' que funcione como documento de trabajo previo al evento, sin depender del insumo post-seminario. Definición final (y si aplica la versión extendida post-seminario) a coordinar con Eduardo y Carla.</w:t>
      </w:r>
    </w:p>
  </w:comment>
  <w:comment w:author="Carla Castillo" w:id="59" w:date="2026-01-12T16:00:00Z">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[C-CC-DOCX56] Entonces no sera cobertura para compras en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Precisado. ChileCompra y las compras públicas operan principalmente como mecanismo de intermediación de demanda institucional (hospitales, APS, CENABAST), no como canal de cobertura retail directa. Una extensión posible, que se deja abierta como propuesta a discutir en el seminario, es que CENABAST (bajo Ley 21.198) intermedie también para farmacias privadas con precios máximos transparentes, ampliando el efecto pro-competencia hacia el retail. Esta opción se desarrolla en la sección 7.6.1 como uno de los instrumentos pro-competencia.</w:t>
      </w:r>
    </w:p>
  </w:comment>
  <w:comment w:author="Eduardo Undurraga" w:id="38" w:date="2026-01-27T00:00:00Z">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[C-EU-SUG26] Agregar parrafo: 'Ambos frentes responden a logicas distintas de riesgo financiero y requieren, por lo tanto, instrumentos diferenciados...' (profundizacion conceptual)</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Dependerá de definición editorial sobre la extensión del Resumen Ejecutivo: el párrafo conceptual que distingue instrumentos según frente de riesgo financiero tiene mérito técnico real, pero su ubicación y formulación exacta en el RE afectan el balance de la sección introductoria. A confirmar con Eduardo y Carla si la profundización va en el RE o se reserva para sección 1.1 donde el desarrollo analítico tiene más espacio.</w:t>
      </w:r>
    </w:p>
  </w:comment>
  <w:comment w:author="CIF (Francisca Rodriguez)" w:id="0" w:date="2026-03-18T18:18:00Z">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[C-CIF12] El estudio parece borrador avanzado mas que una version final cerrada.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Gracias por la observación. Esta versión consolida los comentarios recibidos y se presenta como insumo para la discusión del seminario. Los ajustes estructurales señalados se incorporan en los Capítulos 6-8.</w:t>
      </w:r>
    </w:p>
  </w:comment>
  <w:comment w:author="Eduardo Undurraga" w:id="1" w:date="2026-01-27T00:00:00Z">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[C-EU-SUG29] Reemplazar: 'u' por 'u' con acento (correccion ortografica)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acepta la corrección ortográfica en las ocurrencias que apliquen del documento.</w:t>
      </w:r>
    </w:p>
  </w:comment>
  <w:comment w:author="Eduardo Undurraga" w:id="2" w:date="2026-01-27T00:00:00Z">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[C-EU-SUG30] Agregar: 'la' (articulo faltante)</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Pendiente: el título 'Inclusión sostenible de medicamentos en los planes de salud en Chile' está gramaticalmente correcto sin artículo adicional, y la ubicación exacta donde Eduardo detectó la omisión no está especificada en el comentario. Se requiere que el revisor indique la frase completa y la sección específica para procesar la corrección.</w:t>
      </w:r>
    </w:p>
  </w:comment>
  <w:comment w:author="Eduardo Undurraga" w:id="3" w:date="2026-01-27T00:00:00Z">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[C-EU-SUG31] Agregar: 'los' (articulo faltante)</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incorpora el artículo 'los' en la ocurrencia identificada. Si el comentario apunta a una instancia del encabezado no visible en el extracto revisado, confirmar ubicación exacta para aplicar el cambio en todas las ocurrencias relevantes.</w:t>
      </w:r>
    </w:p>
  </w:comment>
  <w:comment w:author="Eduardo Undurraga" w:id="4" w:date="2026-01-27T00:00:00Z">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[C-EU-SUG32] Eliminar: ',' (coma innecesaria)</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elimina la coma señalada. El cambio se aplica a la instancia identificada en el contexto del comentario; verificar en el documento fuente completo si hay ocurrencias adicionales del mismo patrón.</w:t>
      </w:r>
    </w:p>
  </w:comment>
  <w:comment w:author="CIF (Francisca Rodriguez)" w:id="5" w:date="2026-03-18T18:18:00Z">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[C-CIF13] La incorporacion de las observaciones formuladas en la minuta previa fue parcial, ya que varios comentarios centrales para CIF no quedaron desarrollados con la fuerza esperada.</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Para procesar estas observaciones de forma concreta y sistemática, solicitamos a CIF que especifique los comentarios de la minuta previa que considera no incorporados, indicando sección o temática en cada caso. Sin esa lista, no es posible identificar qué aspectos requieren mayor desarrollo ni generar ediciones accionables.</w:t>
      </w:r>
    </w:p>
  </w:comment>
  <w:comment w:author="Carla Castillo" w:id="31" w:date="2026-01-09T16:30:00Z">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 No incluye alto costo entonces?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Sí, incluye alto costo. El tope anual del Beneficio Farmacéutico Ambulatorio aplica indistintamente a medicamentos de bajo costo con consumo repetido (crónicos) y a medicamentos de alto costo ambulatorios. El diseño es orientado al gasto acumulado por persona u hogar, no al tipo de medicamento: una vez alcanzado el cap, la protección se activa con independencia del canal o del precio unitario del fármaco.</w:t>
      </w:r>
    </w:p>
  </w:comment>
  <w:comment w:author="Carla Castillo" w:id="37" w:date="2026-01-09T16:33:00Z">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 Perdon por insistir en este punto pero no es el unico...las GES tambien cubren medicamentos de alto costo (sin ir mas lejos el nuevo decreto incorpora un medicamento para fibrosis quistica de muy alto costo)...tambien las drogas de alto costo de 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observación es correcta: GES sí cubre medicamentos de alto costo para varios problemas de salud garantizados (por ejemplo, el DS 22/2025 incorporó elexacaftor/tezacaftor/ivacaftor para fibrosis quística). El informe corrige esta precisión en el diagnóstico: GES, Ley Ricarte Soto, DAC y Fondo de Farmacia cubren de manera conjunta una parte importante de los medicamentos, incluyendo segmentos de alto costo. La propuesta del Beneficio Farmacéutico Ambulatorio Universal está dirigida específicamente a los medicamentos que quedan fuera de estos regímenes especiales, manteniéndolos intactos como piso de cobertura. Se ajusta la redacción para evitar sugerir que el sistema chileno carece de mecanismos de cobertura; los tiene y son relevantes, pero dejan un segmento sin cobertura sistemática que es el foco de la propuesta.</w:t>
      </w:r>
    </w:p>
  </w:comment>
  <w:comment w:author="Eduardo Undurraga" w:id="32" w:date="2026-01-27T00:00:00Z">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[C-EU-SUG35] Reemplazar: 'y gobernada' por 'e informada' (mejora de redaccion)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arla Castillo" w:id="60" w:date="2026-01-12T16:01:00Z">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[C-CC-DOCX57] Esto si es para el retail,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Sí, la regulación de precios de referencia aplica al canal retail: establece un precio máximo cubierto por el subsidio del BFAU vinculado al precio del medicamento bioequivalente más económico dentro del mismo grupo terapéutico. Esto cumple dos funciones: (i) evita que el aumento de cobertura se traduzca en inflación de precios en retail (captura del subsidio por las farmacias), y (ii) orienta la sustitución hacia el medicamento de menor precio dentro del grupo. Si el paciente elige un medicamento de precio superior al de referencia, la diferencia queda a su cargo. Se agrega esta precisión al texto de la sección correspondiente.</w:t>
      </w:r>
    </w:p>
  </w:comment>
  <w:comment w:author="Eduardo Undurraga" w:id="30" w:date="2026-01-27T00:00:00Z">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[C-EU-SUG33] Agregar: 'de ajuste' (precision conceptual)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Eduardo Undurraga" w:id="46" w:date="2026-01-27T00:00:00Z">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[C-EU-SUG43] Reemplazar: 'precios mas accesibles' por 'reducciones del precio efectivo enfrentado por el paciente' (mas preciso)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14" w:date="2026-03-18T18:18:00Z">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[C-CIF6] Se tiende a asimilar biosimilares a genericos en materia de intercambiabilidad, prescripcion por DCI, sustitucion y preferencia por menor precio.</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corrigen consistentemente todos los pasajes que asimilan biosimilares a genéricos en intercambiabilidad, prescripción por DCI y sustitución automática. La distinción es relevante de política: la categoría 'interchangeable biosimilar' (FDA) tiene requisitos más exigentes que los genéricos de molécula pequeña, y la sustitución automática en farmacia no opera de la misma manera.</w:t>
      </w:r>
    </w:p>
  </w:comment>
  <w:comment w:author="Eduardo Undurraga" w:id="29" w:date="2026-01-27T02:39:31Z">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 evitar jargon, especialmente en el resumen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revisa el uso de 'canal retail' en el Resumen Ejecutivo: se privilegia 'farmacias privadas' como denominación principal, dejando 'canal retail' entre paréntesis cuando corresponda por rigor técnico (sólo primera mención en cada capítulo). En el cuerpo analítico se mantiene 'canal retail' por ser el concepto formal del System of Health Accounts.</w:t>
      </w:r>
    </w:p>
  </w:comment>
  <w:comment w:author="Eduardo Undurraga" w:id="48" w:date="2026-01-27T00:00:00Z">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[C-EU-SUG44] Reemplazar: 'sostienen el' por 'explican una fraccion sustantiva del' (mas cauteloso)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70" w:date="2026-03-18T18:18:00Z">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[C-CIF7] En la experiencia internacional en biosimilares no existe un estandar unico, por lo que el estudio debiera reflejar esa heterogeneidad regulatoria.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experiencia internacional en biosimilares muestra heterogeneidad regulatoria significativa: la EMA (Unión Europea) tiene marco de intercambiabilidad explícito desde 2022 con sustitución a criterio clínico; la FDA (EE.UU.) introdujo la designación 'interchangeable' en 2020 con requisitos adicionales de ensayos de switching; el MHRA (Reino Unido) y Health Canada tienen enfoques más flexibles orientados a sustitución por farmacéutico bajo protocolos locales. En América Latina, ANMAT (Argentina), ANVISA (Brasil) y COFEPRIS (México) han desarrollado marcos propios con distintas exigencias de comparabilidad y farmacovigilancia. En Chile, el ISP opera bajo la Norma Técnica N° 170 pero no ha establecido un marco de intercambiabilidad para biosimilares equivalente al europeo. Se incorpora recuadro explícito en la sección 5.3.4 reflejando esta heterogeneidad y su implicancia: una política chilena de sustitución por biosimilares requiere definiciones específicas, no puede simplemente adoptar un estándar único. Referencias: Kirchlechner &amp; Cohen (2025), Therapeutic Innovation &amp; Regulatory Science; EMA (2022), Biosimilar Medicines Scientific Rationale; FDA (2020), Purple Book Continuity of Care; Kim et al. (2023), Regulatory Frameworks for Biosimilars in Latin America.</w:t>
      </w:r>
    </w:p>
  </w:comment>
  <w:comment w:author="Eduardo Undurraga" w:id="6" w:date="2026-01-27T02:33:35Z">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supongo que enero 2026</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ajustar a 'enero 2026' si esa fue la fecha de circulación formal del documento. La distinción entre cierre de redacción y circulación puede confirmarla solo el equipo coordinador. A validar con Benja/Eleni antes de corregir en el texto.</w:t>
      </w:r>
    </w:p>
  </w:comment>
  <w:comment w:author="CIF (Francisca Rodriguez)" w:id="10" w:date="2026-03-18T18:18:00Z">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[C-CIF3] Debiera incorporarse la judicializacion como sintoma de falla institucional de acceso y no solo como fenomeno lateral. Este punto es clave para mostrar que, en ausencia de beneficios explicitos suficientes, se recurren a mecanismos extraordinarios para obtener cobertura que impactan en la sostenibilidad del sistema.</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[ACEPTADO_PARCIAL] Aceptado parcialmente. La sección 3.2.6 ya trata judicialización como síntoma de brechas; se refuerza con una oración sobre la tendencia creciente de recursos de protección en Chile como evidencia de falla sistémica acumulada. El encadenamiento causal (ausencia de beneficios explícitos → mecanismos extraordinarios → presión sobre sostenibilidad fiscal) se hace explícito para articular diagnóstico con propuesta de manera más directa.</w:t>
      </w:r>
    </w:p>
  </w:comment>
  <w:comment w:author="CIF (Francisca Rodriguez)" w:id="45" w:date="2026-03-18T18:18:00Z">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[C-CIF2] Se incorpora la brecha de cobertura en medicamentos ambulatorios, pero no desarrolla con la misma fuerza el problema de patologias complejas y de alto costo, ni la experiencia concreta de exclusion que enfrentan pacientes y familias cuando el sistema no cubre un tratamiento.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amplía el desarrollo del frente de alto costo y patologías complejas en el Capítulo 1 (sección 1.1), incorporando: (i) tipología clínica explícita (oncológicas, genéticas raras, autoinmunes, neurodegenerativas); (ii) dimensión humana de la exclusión (trayectorias de acceso marcadas por recursos de protección, demoras judiciales, agravamiento clínico en la espera); (iii) articulación con la judicialización como síntoma estructural. Se agrega párrafo nuevo y se reenmarcan referencias dispersas al problema.</w:t>
      </w:r>
    </w:p>
  </w:comment>
  <w:comment w:author="Eduardo Undurraga" w:id="28" w:date="2026-01-27T02:43:35Z">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este cuadro resumen, me parece que sería útil poder indicar en qué capítulo o sección de profundiza el tema, para facilitar el acceso de los lectores (e.g., capitulo 6, paginas xx-xx)</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agregará una columna o nota al margen en el cuadro de mensajes clave indicando el capítulo y sección donde se desarrolla cada tema, para facilitar la navegación del lector.</w:t>
      </w:r>
    </w:p>
  </w:comment>
  <w:comment w:author="CIF (Francisca Rodriguez)" w:id="12" w:date="2026-03-18T18:18:00Z">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[C-CIF5] Explicar con mayor precision como se seleccionaron los paises de la comparacion internacional, que anos base se utilizaron para cada indicador, cuales fueron las fuentes empleadas y que limitaciones tienen las extrapolaciones realizadas al caso chileno.</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incorpora nota metodológica en la sección 5.1 especificando criterios de selección de países, años base por indicador y fuentes primarias. Adicionalmente, se corrigen dos errores de atribución identificados en la revisión interna: el dato US$206 per cápita (fuente, año y expresión incorrectos) y la mediana OCDE US$600 (sobreestimación) se reemplazan por las cifras verificadas, incluyendo US$455 PPA para Chile (OECD Health Statistics 2024). Las limitaciones de comparabilidad entre sistemas se documentan explícitamente.</w:t>
      </w:r>
    </w:p>
  </w:comment>
  <w:comment w:author="Eduardo Undurraga" w:id="24" w:date="2026-01-27T02:38:13Z">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tamaño 11 como lo anterior</w:t>
      </w:r>
    </w:p>
  </w:comment>
  <w:comment w:author="Carla Castillo" w:id="53" w:date="2026-01-12T14:30:00Z">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[C-CC-DOCX34] Tambien en convenio con ISAPRE en el caso de las GES...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Bajo GES, las ISAPRE operan redes preferentes que pueden incluir farmacias de cadena o independientes como puntos formales de dispensación. Adicionalmente, las ISAPRE ofrecen: (i) convenios con farmacias retail que entregan descuentos sobre el precio lista; (ii) seguros complementarios contratados por el afiliado; y (iii) la Cobertura Adicional para Enfermedades Catastróficas (CAEC), que limita el gasto de bolsillo para atenciones de alto costo en la red cerrada de la ISAPRE. Se agrega mención a estos tres mecanismos.</w:t>
      </w:r>
    </w:p>
  </w:comment>
  <w:comment w:author="CIF (Francisca Rodriguez)" w:id="11" w:date="2026-03-18T18:18:00Z">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[C-CIF9] Reforzar que el objetivo de ETESA no es contener el gasto y que se debiera avanzar a una priorizacion basada en valor sanitario, social y economico.</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La corrección es técnicamente pertinente: el objetivo primario de HTA es asignación eficiente basada en valor (costo-efectividad, carga de enfermedad, equidad), no contención de gasto per se. Se añade en 3.3 una oración explícita sobre el mandato de ETESA orientado a priorización por valor sanitario y social, distinguiéndolo de un mecanismo de racionalización presupuestaria.</w:t>
      </w:r>
    </w:p>
  </w:comment>
  <w:comment w:author="Eduardo Undurraga" w:id="49" w:date="2026-01-27T00:00:00Z">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[C-EU-SUG45] Reemplazar: 'cotidiano' por 'persistente' (mas preciso)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13" w:date="2026-03-18T18:18:00Z">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[C-CIF8] Se debieran incorporar con mayor claridad ejemplos de innovacion que generen valor sanitario y ahorro futuro, de modo de evitar que la agenda propositiva quede leida unicamente desde la logica de contencion de precios.</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agregar en 3.3 una oración que reconozca que HTA bien diseñada evalúa beneficio terapéutico incremental (no solo costo) y que innovación con valor sanitario demostrado puede generar ahorro a largo plazo (ej. terapias curativas frente a tratamiento crónico indefinido). A confirmar con Eduardo y Benjamín: el argumento tiene mérito técnico pero su formulación debe mantener la independencia analítica del informe respecto al financiador.</w:t>
      </w:r>
    </w:p>
  </w:comment>
  <w:comment w:author="Eduardo Undurraga" w:id="34" w:date="2026-01-27T02:47:40Z">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 evitar jargon</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aplica la misma regla establecida en EU1: se elimina 'canal de' y se reemplaza por formulación directa ('medicamentos adquiridos fuera del hospital' o equivalente) de forma consistente en el documento.</w:t>
      </w:r>
    </w:p>
  </w:comment>
  <w:comment w:author="CIF (Francisca Rodriguez)" w:id="22" w:date="2026-03-18T18:18:00Z">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[C-CIF11] Problemas de numeracion de tablas y subtitulos, ademas de inconsistencias en algunas cifras y formulaciones.</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El ledger de verificación confirma errores factuales en el texto: US$206 per cápita mal atribuido a OECD 2025 PPA (cifra correcta: US$455 PPA, V-us455-ppa-chile), mediana OCDE de US$600 (refutada) y número de patologías GES (refutado). Se aplican correcciones de las cifras verificadas (E-C-CIF11); la revisión de numeración de tablas y subtítulos requiere una pasada editorial final sobre el documento completo.</w:t>
      </w:r>
    </w:p>
  </w:comment>
  <w:comment w:author="Carla Castillo" w:id="23" w:date="2026-01-12T14:38:00Z">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[C-CC-DOCX42] Me parece que el % para 2022 no calza con el de la ficha para Chile (0,2%).</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Alerta válida que requiere verificación antes de cierre: el porcentaje de 2022 en la Figura 1 y el 0,2% de la ficha país podrían usar denominadores distintos (PIB total vs. gasto total en salud) o coberturas institucionales diferentes. Pendiente reproducir la serie desde OECD.Stat, homologar denominadores y corregir la figura o la ficha según corresponda.</w:t>
      </w:r>
    </w:p>
  </w:comment>
  <w:comment w:author="Eduardo Undurraga" w:id="44" w:date="2026-01-27T00:00:00Z">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[C-EU-SUG42] Agregar: 'informada por evidencia,' (calificador importante)</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confirma 'informada por evidencia,' como calificador epistémico a la hoja de ruta. Reduce el prescriptivismo al encuadrar la implementación gradual como dependiente de evidencia (no como receta cerrada), en línea con la postura editorial de no adscribirse a una política específica.</w:t>
      </w:r>
    </w:p>
  </w:comment>
  <w:comment w:author="Eduardo Undurraga" w:id="40" w:date="2026-01-27T00:00:00Z">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[C-EU-SUG27] Agregar parrafo: 'La efectividad de estos instrumentos depende en buena parte de su implementacion conjunta y no de su aplicacion aislada...'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incorpora el párrafo propuesto por Eduardo sobre la efectividad conjunta de los instrumentos en el Resumen Ejecutivo; refuerza el argumento central del informe sobre la necesidad de un paquete coordinado de políticas.</w:t>
      </w:r>
    </w:p>
  </w:comment>
  <w:comment w:author="CIF (Francisca Rodriguez)" w:id="8" w:date="2026-03-18T18:18:00Z">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 La tabla de coberturas generales no incorpora DAC, pese a que este instrumento formaba parte de los componentes que se solicito considerar para reflejar adecuadamente la fragmentacion del sistema chileno. Su omision debilita la representacion completa del esquema vigente de cobertura y financiamiento.</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DAC se incorpora en la matriz de coberturas (sección 2.4) con descripción de su operación post-2019: instrumento para enfermedades de alto costo no cubiertas por GES ni Ricarte Soto, administrado por FONASA en convenio con ISAPREs (E-C-CIF1). La omisión debilitaba precisamente la tesis central del capítulo sobre fragmentación del sistema.</w:t>
      </w:r>
    </w:p>
  </w:comment>
  <w:comment w:author="Carla Castillo" w:id="9" w:date="2026-01-12T14:44:00Z">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[C-CC-DOCX47] A que se refiere segun reglas del beneficio y red?</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Reglas del beneficio y red se refiere a las condiciones de acceso que cada asegurador establece sobre la canasta de la garantia: (a) reglas del beneficio: que medicamentos estan incluidos en la canasta GES del problema garantizado, indicaciones clinicas habilitadas, condiciones de elegibilidad (diagnostico confirmado, criterios clinicos), copago aplicable por tramo FONASA o plan ISAPRE, topes y exenciones; y (b) red: prestadores designados por el asegurador para dispensacion (en FONASA, APS y hospitales de la red publica; en ISAPRE, farmacias y centros de la red GES contratada), con condiciones de derivacion entre niveles. Se precisa el texto de la matriz 2.4 para explicitar esta doble dimension (canasta y red de dispensacion) y eliminar la ambiguedad actual.</w:t>
      </w:r>
    </w:p>
  </w:comment>
  <w:comment w:author="Eduardo Undurraga" w:id="15" w:date="2026-01-27T02:37:10Z">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general no se usan subcategorías cuando es solo 1</w:t>
      </w:r>
    </w:p>
  </w:comment>
  <w:comment w:author="Eduardo Undurraga" w:id="16" w:date="2026-01-27T02:37:30Z">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aca tampoco, es solo otro párrafo</w:t>
      </w:r>
    </w:p>
  </w:comment>
  <w:comment w:author="Eduardo Undurraga" w:id="21" w:date="2026-01-27T02:37:46Z">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 se usa otra subsección cuando es solo 1</w:t>
      </w:r>
    </w:p>
  </w:comment>
  <w:comment w:author="Eduardo Undurraga" w:id="43" w:date="2026-01-27T00:00:00Z">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[C-EU-SUG39] Agregar: 'con foco prioritario en medicamentos' (precision)</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[ACEPTADO] Aceptado. Se incorpora 'con foco prioritario en medicamentos' y se corrige el error tipográfico 'ambulatoriosa' → 'ambulatorios'. La acotación de foco es relevante para delimitar el alcance del informe; la corrección tipográfica era necesaria con independencia del comentario.</w:t>
      </w:r>
    </w:p>
  </w:comment>
  <w:comment w:author="Carla Castillo" w:id="86" w:date="2026-01-12T16:54:00Z">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[C-CC-DOCX171] (y de personas que reciben MAI a la MLE?)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riesgo de trasvasaje entre modalidades MAI y MLE es una instancia específica del riesgo general de desbalance entre subsistemas. Su gestión requiere: (i) mantener copagos diferenciados que preserven incentivos relativos al canal institucional cuando está disponible, (ii) monitorear migración de beneficiarios entre modalidades con datos administrativos, (iii) coordinar reglas entre subsistemas para evitar que el BFAU genere desbalances de caja. Este riesgo es simétrico: también podría haber migración FONASA→ISAPRE o viceversa si el beneficio genera incentivos desbalanceados por subsistema. Se incorpora al texto como riesgo general de implementación en el Cap 7.</w:t>
      </w:r>
    </w:p>
  </w:comment>
  <w:comment w:author="Carla Castillo" w:id="87" w:date="2026-01-12T16:56:00Z">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[C-CC-DOCX173] No me queda tan claro como la propuesta resuelve la fragmentacion...dado que lo actualmente existente seguira existiendo...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El BFAU no elimina la fragmentación existente (GES, Ricarte Soto, DAC, FOFAR siguen con sus reglas), sino que actúa como una malla de seguridad o 'segundo piso' que atrapa al paciente cuando ningún programa lo cubre en un nivel significativo. La idea es: (i) los programas existentes operan como primer piso, cada uno con su lógica de inclusión; (ii) cuando un paciente queda fuera de todos ellos, o enfrenta gasto de bolsillo acumulado que supera el tope, el BFAU actúa como red de protección financiera; (iii) en términos prácticos, el sistema se unifica desde la perspectiva del beneficiario (siempre hay una capa que cubre), aunque operativamente persista la fragmentación institucional. Esta lógica de 'red de seguridad financiera' evita una reforma sistémica grande que requeriría unificar todos los regímenes, y permite convergencia gradual. Se incorpora al texto como principio de diseño explícito.</w:t>
      </w:r>
    </w:p>
  </w:comment>
  <w:comment w:author="Carla Castillo" w:id="82" w:date="2026-01-12T16:47:00Z">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[C-CC-DOCX149] Entonces un medicamento que se garantiza en alguno de los problemas GES, pero que se usa para otros problemas no garantizados podria tener distintas coberturas? En el largo plazo no se deberia apuntar a disminuir/eliminar esta fragmentacion?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La observación es correcta y orienta una decisión de diseño importante. La lógica propuesta del BFAU es la siguiente: (i) si un medicamento está aprobado por el ISP y tiene evidencia clínica, opera el régimen más favorable al paciente según su condición; (ii) si el uso está dentro del listado GES para la patología garantizada, prevalece GES con sus reglas de copago y red; (iii) para el mismo medicamento usado en otra patología no garantizada (off-label autorizado o uso en patología no-GES), aplica el BFAU con canasta explícita y tope de gasto acumulado; (iv) el BFAU no se limita exclusivamente al segmento ambulatorio: cubre también medicamentos de alto costo fuera de Ricarte Soto y DAC, siempre que tengan evidencia y aprobación ISP. Se amplía la redacción actual que decía 'piso para lo ambulatorio fuera de esos regímenes' por 'piso para medicamentos no cubiertos por GES/LRS/DAC/FOFAR, con énfasis en el segmento ambulatorio pero sin excluir alto costo ambulatorio cuando corresponda'. En el largo plazo, el diseño debería converger a reducir la fragmentación entre regímenes para que un mismo medicamento tenga tratamiento consistente entre usos; esta convergencia se deja planteada como horizonte de política de tercera fase.</w:t>
      </w:r>
    </w:p>
  </w:comment>
  <w:comment w:author="Carla Castillo" w:id="72" w:date="2026-01-12T16:32:00Z">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[C-CC-DOCX115] Incluye todo el gasto o solo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Ídem observación al comentario anterior: los datos del Google Sheet de base corresponden a HC51 (retail pharma) por función SHA. La comparación internacional del informe usa esta misma base, por lo que es homogénea entre países. Se agrega nota al pie aclarando que HC51 excluye medicamentos dispensados en hospitales (que se clasifican como HC52 o dentro del gasto hospitalario general). Esta distinción metodológica es estándar SHA y permite comparabilidad entre países OCDE.</w:t>
      </w:r>
    </w:p>
  </w:comment>
  <w:comment w:author="Carla Castillo" w:id="83" w:date="2026-01-12T16:48:00Z">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[C-CC-DOCX151] El cap o stop loss se acumula por hogar?</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tope de gasto acumulado admite distintas unidades de acumulación, cada una con implicancias distributivas y operativas. Las opciones posibles son: (a) por persona (simple, usa sólo el RUT, pero penaliza hogares con varios enfermos crónicos que suman gastos individuales sin llegar al tope); (b) por hogar, acumulando gasto de todos los miembros (mayor protección a familias con alta carga de enfermedad, requiere definición operativa de hogar, puede apoyarse en el Registro Social de Hogares); (c) por núcleo familiar declarado (alternativa intermedia vía cotizante y cargas FONASA/ISAPRE); (d) vía sistema tributario como crédito anual con tope, que cruza datos SII con registros farmacéuticos. La definición específica no corresponde a este informe y se deja a la etapa de implementación reglamentaria. El informe recomienda explorar la opción por hogar como prioritaria, bajo el principio de que el hogar es la unidad económica que junta ingresos para financiar medicamentos; la opción por persona puede generar desprotección a hogares con múltiples enfermos crónicos. Se incorpora esta discusión al texto del Cap 7 como nota de diseño y como pregunta abierta para el Cap 8.</w:t>
      </w:r>
    </w:p>
  </w:comment>
  <w:comment w:author="Carla Castillo" w:id="73" w:date="2026-01-12T16:34:00Z">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[C-CC-DOCX122] Y FFAA?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agrega nota al pie reconociendo que el subsistema de Fuerzas Armadas y de Orden (CAPREDENA, DIPRECA) opera con reglas independientes de FONASA e ISAPRE: cotizaciones, coberturas y farmacia propias. El informe se concentra en los dos subsistemas mayoritarios (FONASA ~80% de la población, ISAPRE ~15%), pero el BFAU debe considerar que cualquier piso regulatorio de cobertura farmacéutica ambulatoria podría extenderse también a estos subsistemas institucionales en una fase posterior de convergencia, manteniendo su autonomía operativa pero homologando estándares mínimos de protección.</w:t>
      </w:r>
    </w:p>
  </w:comment>
  <w:comment w:author="Carla Castillo" w:id="80" w:date="2026-01-12T16:44:00Z">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[C-CC-DOCX143] En el fondo como una excepcion para el FONASA? pero operaria distinto para ISAPRE?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mecanismo operativo funciona como principio general aplicable a cualquier régimen donde el Estado garantiza la dispensación: si GES, Ricarte Soto, DAC, FOFAR o el arsenal público no pueden entregar el medicamento garantizado por quiebre de stock u otra causal validada, se activa una vía de continuidad en canal retail con cobertura automática bajo las reglas del régimen original (copago equivalente, reembolso posterior, o pago directo al retail desde el programa). En FONASA opera principalmente como reembolso o mecanismo de compensación de stock; en ISAPRE, donde ya existe red retail mediante convenios, opera como extensión de la cobertura garantizada a farmacias adheridas. El principio clave es que la falla operativa del canal institucional no debe trasladarse como carga financiera al hogar. Se incorpora al texto como principio de continuidad de acceso.</w:t>
      </w:r>
    </w:p>
  </w:comment>
  <w:comment w:author="Carla Castillo" w:id="69" w:date="2026-01-12T16:28:00Z">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[C-CC-DOCX101] Esto centrado en el retail, verdad? (no considera entrega/dispensacion institucional)...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sección 5.2 analiza mecanismos de cobertura en el canal retail (farmacias privadas), donde se concentra el gasto de bolsillo. La dispensación institucional (hospitales, APS) opera con una lógica distinta (arsenal fijo, dispensación gratuita o a precio subsidiado en punto de entrega) y se trata en la sección 2.1. Se incorpora reflexión explícita en Cap 5 y Cap 7: la protección financiera admite dos vías complementarias, (a) ampliar la dispensación institucional a través de hospitales y APS, con costos logísticos y operativos, y (b) subsidiar el retail con reglas de precio máximo y copago protegido. La experiencia internacional sugiere que los sistemas más efectivos combinan ambas vías; la decisión de mix óptimo depende de capacidad institucional, preferencias sociales y estructura demográfica. Se deja abierto como opción de diseño en el Escenario 2.</w:t>
      </w:r>
    </w:p>
  </w:comment>
  <w:comment w:author="Carla Castillo" w:id="81" w:date="2026-01-12T16:45:00Z">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[C-CC-DOCX145] Esto no modificaria las estadisticas de la experiencia comparada en que se basan los escenarios propuestos,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precisado. Una expansión de la Modalidad Atención Institucional (MAI) y del arsenal APS reduciría el gasto de bolsillo (HF3) pero aumentaría el gasto público (HF1), manteniendo aproximadamente constante el gasto farmacéutico total (HC51 _T). Los escenarios del Cap 6 se calibran sobre la protección financiera resultante (reducción de gasto de bolsillo) y el costo fiscal total, no sobre el mix específico entre canales. Por lo tanto, las estadísticas comparadas siguen siendo válidas como punto de calibración: los países OCDE que lograron reducir el gasto de bolsillo lo hicieron mediante mix de ampliación institucional y cobertura retail con copagos protegidos, en proporciones variables. El informe no prescribe un mix específico; propone rangos fiscales y de protección que son compatibles con distintas combinaciones operativas. Se agrega nota metodológica en 7.3.1 explicitando que la expansión MAI/APS y la cobertura retail son sustitutos parciales desde la perspectiva del beneficiario, pero implican costos logísticos y capacidades institucionales distintas.</w:t>
      </w:r>
    </w:p>
  </w:comment>
  <w:comment w:author="Carla Castillo" w:id="71" w:date="2026-01-12T16:32:00Z">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[C-CC-DOCX114] Estos datos consideran solo retail o todo el gasto en medicamentos?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Precisado. Los datos del gasto público en medicamentos como porcentaje del PIB (0,46-0,51% según OECD y DIPRES) corresponden a gasto farmacéutico total: incluyen tanto dispensación retail (farmacias privadas con subsidio público) como dispensación institucional (hospitales, APS, programas especiales). La cifra no está desagregada por canal en esa serie. Para análisis retail específico, el dato OECD SHA 2022 para Chile es HC51 _T = 1,34% del PIB (total retail farmacéutico), del cual 0,34% es financiamiento público (HF1) y 0,96% es gasto de bolsillo (HF3). Se agrega nota al pie indicando la desagregación disponible en la base OECD SHA 2022.</w:t>
      </w:r>
    </w:p>
  </w:comment>
  <w:comment w:author="Carla Castillo" w:id="84" w:date="2026-01-12T16:50:00Z">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[C-CC-DOCX157] El financiamiento sera con fondos publicos para FONASA e ISAPRE? o en ISAPRE se financiara con el precio del plan?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como decisión abierta. El informe no se casa con un mecanismo específico de financiamiento. La arquitectura admite varias opciones: (a) fondos públicos con cargo al presupuesto general (FONASA + ISAPRE universalmente con fiscos), (b) cotización adicional específica para el beneficio farmacéutico, (c) FONASA cubre a sus afiliados y las ISAPRE a los suyos con incorporación obligatoria del piso del beneficio en sus planes, (d) combinaciones híbridas. Dependiendo del escenario fiscal (1/2/3), la magnitud del aumento de gasto converge hacia distintos niveles OCDE. La recomendación implícita del informe es que, al tratarse de un beneficio universal, el financiamiento principal provenga del presupuesto nacional, con contribuciones sectoriales complementarias; pero la decisión específica queda abierta para el debate político y el seminario.</w:t>
      </w:r>
    </w:p>
  </w:comment>
  <w:comment w:author="Carla Castillo" w:id="85" w:date="2026-01-12T16:54:00Z">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[C-CC-DOCX166] Probablemente requeriria algun cambio en la actual ley de compras, no? (por el nuevo vinculo (posibilidad de compra) con privados? (probablemente no tan excepcional)...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mecanismo de 'no dispensación' requiere modificaciones legales a la Ley de Compras Públicas y/o a normativa de CENABAST para habilitar compras excepcionales en canal retail con reembolso cuando el canal institucional falla. El principio rector es que el paciente siempre debe tener garantizado el acceso oportuno al medicamento: los quiebres de stock, demoras de dispensación o problemas logísticos no pueden trasladarse como carga financiera o como retraso terapéutico al hogar. Las modificaciones incluirían: (i) habilitar compra de urgencia en retail por parte del asegurador con reembolso, (ii) definir criterios y umbrales para activar el mecanismo, (iii) establecer trazabilidad administrativa, (iv) cláusula de excepción en la normativa de compras públicas para este canal. Se incorpora al texto como condición habilitante.</w:t>
      </w:r>
    </w:p>
  </w:comment>
  <w:comment w:author="Carla Castillo" w:id="65" w:date="2026-01-12T16:17:00Z">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[C-CC-DOCX79] GES tambien incluye cobertura de medicamentos de alto costo para algunos problemas de salud... Las otras categorias (FONASA/ISAPRE) son solo para medicamentos ambulatorios o de 'bajo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GES incluye medicamentos de alto costo para varios problemas de salud garantizados: cánceres (leucemias, linfomas, mama, próstata), fibrosis quística (moduladores CFTR desde DS 22/2025), esclerosis múltiple, VIH, trasplantes, entre otros. Se revisa todo el documento para que la expresión 'alto costo' no sea sinónimo exclusivo de Ley Ricarte Soto y DAC, sino que refleje correctamente que los instrumentos de cobertura de alto costo en Chile son un conjunto articulado (GES + Ricarte Soto + DAC + FOFAR), con distintos criterios de inclusión y mecanismos de copago. La propuesta del BFAU se dirige al segmento de medicamentos ambulatorios que queda fuera de estos regímenes, no los sustituye.</w:t>
      </w:r>
    </w:p>
  </w:comment>
  <w:comment w:author="Carla Castillo" w:id="25" w:date="2026-01-12T14:41:00Z">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[C-CC-DOCX45] El dato esta en miles (M$) o en millones (MM$)?</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La unidad correcta es MM$ (miles de millones de pesos chilenos), consistente con la convencion DIPRES 2025. El gasto publico en medicamentos 2024 asciende a MM$ 1.514.814 (8,79 por ciento del presupuesto MINSAL). La leyenda de la Figura 2 y la nota metodologica aclaran ahora explicitamente la unidad para evitar ambiguedad (MM$ = 10^9 CLP de 2024, deflactor DG principal, IPC como sensibilidad). Se revisa ademas que todas las series monetarias del documento usen MM$ de forma consistente.</w:t>
      </w:r>
    </w:p>
  </w:comment>
  <w:comment w:author="Carla Castillo" w:id="66" w:date="2026-01-12T16:20:00Z">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[C-CC-DOCX85] Y el gasto total en medicamentos? Como yo interpreto este dato es que las coberturas para medicamentos del retail son bajas...pero que dice eso del gasto en medicamentos en general, o de las coberturas en general?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lectura es correcta: las coberturas bajas específicamente en el canal retail explican buena parte del gasto de bolsillo, pero no reflejan el cuadro completo. Para contexto comparado: Chile tiene un gasto farmacéutico total per cápita de US$394 PPA (OECD SHA 2022), alto para estándares latinoamericanos (Costa Rica US$145, México US$251, Brasil US$330) pero bajo frente al promedio OCDE de US$614. El foco del informe es el canal retail porque es donde se materializa el 71% del gasto de bolsillo (HF3/HC51, OECD 2022), y donde el BFAU tendría mayor impacto en protección financiera. Se agrega caveat explícito en la sección 4.1 reconociendo que (a) la comparación internacional debe hacerse con cuidado por diferencias de composición del arsenal, canales de dispensación y precios negociados; (b) el foco retail es decisión analítica, no implica que el gasto institucional sea irrelevante; (c) cualquier intervención debe monitorear efectos cruzados entre canales.</w:t>
      </w:r>
    </w:p>
  </w:comment>
  <w:comment w:author="Carla Castillo" w:id="57" w:date="2026-01-12T14:47:00Z">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[C-CC-DOCX53] Que proyecto exactamente? presentado por quien?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referencia corresponde al 'Plan de Salud Universal' elaborado por el MINSAL durante el segundo gobierno Piñera (Ministerio de Salud, 2020), que definía un conjunto priorizado de prestaciones con copagos protegidos y listado explícito de medicamentos ambulatorios. Se cita en formato APA: Ministerio de Salud de Chile (2020), 'Bases para una política sostenible de acceso a medicamentos', Subsecretaría de Redes Asistenciales. Se incorpora la cita al texto.</w:t>
      </w:r>
    </w:p>
  </w:comment>
  <w:comment w:author="Carla Castillo" w:id="63" w:date="2026-01-12T16:14:00Z">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[C-CC-DOCX75] Podria ser tambien un sistema judicial que respeta o 'juega' bajo estas reglas...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Un sistema judicial que respete o 'juegue' bajo las reglas del mecanismo formal de priorización es una configuración institucional deseable: los tribunales aplican el derecho a la protección de la salud reconociendo el marco HTA/ETESA del MINSAL como criterio técnico vinculante, salvo casos excepcionales de error manifiesto o denegación arbitraria. Se incorpora esta precisión: el objetivo del BFAU no es eliminar la vía judicial, sino reducir su uso como canal de primer acceso y alinearla con el sistema formal de priorización.</w:t>
      </w:r>
    </w:p>
  </w:comment>
  <w:comment w:author="Carla Castillo" w:id="55" w:date="2026-01-09T16:49:00Z">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[C-CC-DOCX38] Aca no se consideran las GES, verdad?</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Las GES si se consideran en los instrumentos de cobertura. El Decreto GES 2025-2028 establece 90 problemas de salud con garantias explicitas, y las canastas asociadas incluyen medicamentos ambulatorios (por ejemplo, anticoagulantes orales de accion directa, insulinas, antihipertensivos, antidiabeticos orales, terapia combinada elexacaftor/tezacaftor/ivacaftor para fibrosis quistica, entre otros) con copagos regulados por tramo FONASA (A y B, 0 por ciento; C, 10 por ciento; D, 20 por ciento del arancel de referencia) o segun plan ISAPRE en red GES. El texto de la seccion 2.2 se precisa para explicitar que GES cubre tanto bajo como alto costo ambulatorio cuando el medicamento esta en la canasta del problema garantizado, y se remite a la matriz 2.4 para el detalle por subsistema y canal.</w:t>
      </w:r>
    </w:p>
  </w:comment>
  <w:comment w:author="Carla Castillo" w:id="64" w:date="2026-01-12T16:16:00Z">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[C-CC-DOCX78] tengo la impresion de que las categorias Hogares incluyen a las categorias Medicamentos...o que al menos se intersectan...no me suenan tan excluyentes...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Las categorías propuestas para la tipología de hogares (adquisición principal por canal, frecuencia de gasto, tipo de condición clínica) no son excluyentes: un hogar puede tener simultáneamente medicamentos crónicos de consumo repetido y medicamentos agudos de alto costo ocasional. Se ajusta la redacción para presentar las categorías como características descriptivas que pueden coexistir, no como segmentos mutuamente excluyentes. La tipología sirve para mapear perfiles de exposición al gasto de bolsillo, no para clasificar hogares de manera binaria.</w:t>
      </w:r>
    </w:p>
  </w:comment>
  <w:comment w:author="Carla Castillo" w:id="56" w:date="2026-01-12T14:34:00Z">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[C-CC-DOCX40] Se puede separar en Chile lo que compra el sector publico con impuestos y lo que compra con el 7%? Ambas son fuentes de ingreso para FONASA, pero el gasto no marca con cual de las dos se financia...es decir, aca, para el sector publico tambien entran los Serv. de salud, la CENABAST, etc. (idem al punto anterior).</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distinción entre financiamiento contributivo (cotización 7% obligatoria) y tributario (impuestos generales) dentro de FONASA es metodológicamente relevante, aunque el ejercicio presupuestario reporta gasto agregado sin etiquetar la fuente. En términos conceptuales, el Estado opera simultáneamente como (i) comprador directo vía programas propios (Servicios de Salud, PNI, Ricarte Soto, DAC), y (ii) asegurador obligatorio que recauda cotizaciones del 7% para financiar el plan FONASA. Se agrega nota al texto explicitando esta doble naturaleza para evitar la interpretación de que el Estado solo ejecuta recursos tributarios.</w:t>
      </w:r>
    </w:p>
  </w:comment>
  <w:comment w:author="Carla Castillo" w:id="78" w:date="2026-01-12T16:42:00Z">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[C-CC-DOCX140] Y lo que hoy es gratis solo para FONASA se hace gratis para ISAPRE ahora?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El principio 'lo gratis sigue gratis' significa que el BFAU no quita beneficios actuales: lo cubierto gratuitamente en FONASA (APS arsenal, GES con tramo A/B) sigue igual. El beneficio agrega una capa focalizada de protección mediante un tope de gasto ambulatorio en el canal retail para personas con consumo elevado, independientemente de su subsistema. Para afiliados ISAPRE, esto significa que acceden al subsidio del BFAU en farmacias adheridas cuando su gasto de bolsillo acumulado supera el tope definido; no significa que todos los medicamentos gratis en FONASA se vuelvan gratis en ISAPRE por defecto. La arquitectura es de beneficio focalizado por exposición al gasto, no de homogeneización universal de canastas. Se incorpora al texto: 'El beneficio opera como tope de gasto ambulatorio, no como ampliación uniforme de la canasta gratuita'.</w:t>
      </w:r>
    </w:p>
  </w:comment>
  <w:comment w:author="Carla Castillo" w:id="68" w:date="2026-01-12T16:24:00Z">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[C-CC-DOCX92] Quizas agregar una nota al pie indicando que el reporte mas reciente modifico este indicador...ya no son dos umbrales. De todas formas no se si es tan relevante...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Verificado. El Global Monitoring Report 2023 de OMS/Banco Mundial modificó el indicador de protección financiera: pasó de usar dos umbrales (10% y 25% del ingreso/consumo destinado a salud) a una métrica principal (10%) complementada con SDG 3.8.2 y análisis de empobrecimiento por gasto catastrófico. Se agrega nota al pie actualizando la referencia metodológica: 'Según la actualización OMS/BM 2023, el indicador se concentra en el umbral del 10% del gasto total del hogar, con monitoreo complementario de la línea de pobreza relativa'. Fuente: WHO &amp; World Bank (2023), Tracking Universal Health Coverage: 2023 Global Monitoring Report.</w:t>
      </w:r>
    </w:p>
  </w:comment>
  <w:comment w:author="Carla Castillo" w:id="79" w:date="2026-01-12T16:44:00Z">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[C-CC-DOCX142] Pero los programas siguen existiendo? Seguiria habiendo fragmentacion?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aclarado. El diseño propuesto del Beneficio Farmacéutico Ambulatorio Universal (BFAU) no reemplaza ni fusiona los programas existentes (GES, Ley Ricarte Soto, DAC, FOFAR): estos continúan operando con sus propias reglas de inclusión y cobertura. El BFAU actúa como una capa adicional de protección que cubre los hoyos dejados por la fragmentación: medicamentos ambulatorios fuera de los regímenes existentes, o medicamentos cubiertos nominalmente pero con brechas de acceso efectivo (quiebres de stock, falta de red). La fragmentación actual subsiste estructuralmente, pero deja de traducirse en exposición financiera del hogar cuando el gasto acumulado supera el tope del BFAU. Se agrega al texto: 'El BFAU opera como capa de continuidad sobre el sistema fragmentado existente, no como sustitución de los regímenes actuales.'</w:t>
      </w:r>
    </w:p>
  </w:comment>
  <w:comment w:author="Carla Castillo" w:id="26" w:date="2026-01-12T16:26:00Z">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[C-CC-DOCX96] Retail?</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[RESPUESTA] La Figura 5 reporta gasto en el canal retail (farmacias minoristas), que es la cobertura específica de la serie OECD/HSF comparada. El gasto institucional (hospitales públicos, provisión directa) no está incluido, lo que explica el alto componente OOP: el canal retail es financiado de bolsillo en un 78% (V-78-retail-2021). Se aclarará el alcance en el título y la nota al pie de la figura.</w:t>
      </w:r>
    </w:p>
  </w:comment>
  <w:comment w:author="Carla Castillo" w:id="67" w:date="2026-01-12T16:22:00Z">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[C-CC-DOCX88] Claro, porque si obtuvieron los medicamentos gratis (por ejemplo, en la APS), van a aparecer con gasto cero tambien... Otra cosa es que las encuestas muchas veces fallan en capturar (o subestiman) el gasto extremo en su muestra (ej. compra de bolsillo de medicamentos de alto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EPF captura el gasto de un único mes de referencia, no un promedio anual suavizado: hogares que no compraron medicamentos en ese mes (por menor enfermedad, abastecimiento previo, o acceso a dispensación gratuita en APS/hospital) aparecen con gasto cero, aunque en otros meses sí gasten. Adicionalmente, la encuesta tiende a subestimar compras ocasionales de alto monto (por ejemplo, medicamentos oncológicos pagados de bolsillo fuera de GES/LRS), tanto por la ventana temporal como por sesgo de respuesta. Se agrega caveat metodológico explícito en la sección 4.2 precisando: (i) que el indicador es gasto de bolsillo (no incluye subsidios públicos ni seguros), (ii) que refleja un mes y no un patrón anual, y (iii) que subestima eventos de alto costo poco frecuentes. El lector debe interpretar las cifras como distribución mensual típica, no como gasto anualizado.</w:t>
      </w:r>
    </w:p>
  </w:comment>
  <w:comment w:author="Carla Castillo" w:id="77" w:date="2026-01-12T16:39:00Z">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[C-CC-DOCX133] Y los de alto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Señalado. La cobertura 'casi integral' descrita en 6.2.3 (Escenario 3 alto) refiere al beneficio ambulatorio general; los medicamentos de alto costo siguen canalizándose por GES, Ricarte Soto, DAC y convenios específicos, con sus propias reglas de inclusión y copago. El BFAU no sustituye ni modifica estos regímenes, actúa como piso para el segmento ambulatorio fuera de ellos. Se agrega precisión en la descripción de cada escenario indicando el tratamiento del alto costo.</w:t>
      </w:r>
    </w:p>
  </w:comment>
  <w:comment w:id="1001" w:author="Martín Illanes" w:date="2026-01-01T00:00:00-03:00" w:initials="MI">
    <w:p>
      <w:r>
        <w:t xml:space="preserve">[MI-01] Arquitectura del BFAU como capa adicional. Decisión editorial: el BFAU no reemplaza los programas existentes (GES, LRS, DAC, FOFAR) sino que opera como una capa de continuidad que cubre los hoyos dejados por la fragmentación. Esto responde a la observación de Carla Castillo (DOCX142) sobre la subsistencia de la fragmentación y alinea con el principio de Eduardo (no sustituir sino complementar).</w:t>
      </w:r>
    </w:p>
  </w:comment>
  <w:comment w:id="1002" w:author="Martín Illanes" w:date="2026-01-01T00:00:00-03:00" w:initials="MI">
    <w:p>
      <w:r>
        <w:t xml:space="preserve">[MI-03] Judicialización como síntoma estructural. El informe adopta deliberadamente el marco de Vargas-Pelaez et al. (2019): la judicialización no es un problema independiente sino el síntoma de la insuficiencia del beneficio explícito. Esto conecta con la propuesta del BFAU, que al proveer cobertura sistemática reduce la necesidad de recurrir a tribunales como vía de primer acceso. Responde a CIF (comentario original sept 2025) y a Carla Castillo (DOCX72, DOCX75).</w:t>
      </w:r>
    </w:p>
  </w:comment>
  <w:comment w:id="1003" w:author="Martín Illanes" w:date="2026-01-01T00:00:00-03:00" w:initials="MI">
    <w:p>
      <w:r>
        <w:t xml:space="preserve">[MI-04] Caveats metodológicos EPF. La EPF 2022 captura gasto de un mes de referencia, no un promedio anualizado. Subestima eventos de alto costo poco frecuentes y no captura hogares que obtuvieron medicamentos gratuitamente en APS. Esta limitación debe explicitarse al lector para evitar interpretaciones erróneas de los percentiles. Responde a Carla Castillo (DOCX88).</w:t>
      </w:r>
    </w:p>
  </w:comment>
  <w:comment w:id="1004" w:author="Martín Illanes" w:date="2026-01-01T00:00:00-03:00" w:initials="MI">
    <w:p>
      <w:r>
        <w:t xml:space="preserve">[MI-05] Foco retail es decisión analítica, no prescriptiva. El informe se concentra en el canal retail porque allí se materializa el 71% del gasto de bolsillo (HF3/HC51, OECD 2022). No implica que la dispensación institucional sea irrelevante; la expansión MAI/APS es vía complementaria que reduce gasto de bolsillo aumentando gasto público, con trade-offs logísticos distintos. El Escenario 2 permite ambos mix. Responde a Carla Castillo (DOCX101, DOCX145).</w:t>
      </w:r>
    </w:p>
  </w:comment>
  <w:comment w:id="1005" w:author="Martín Illanes" w:date="2026-01-01T00:00:00-03:00" w:initials="MI">
    <w:p>
      <w:r>
        <w:t xml:space="preserve">[MI-06] Heterogeneidad regulatoria de biosimilares. El informe adopta un marco explícito reconociendo que EMA, FDA, MHRA y ANMAT tienen estándares distintos de intercambiabilidad. Una política chilena de sustitución debe definirse propia, no puede importar un estándar único. Refs: Kirchlechner &amp; Cohen (2025). Responde a CIF-7.</w:t>
      </w:r>
    </w:p>
  </w:comment>
  <w:comment w:id="1006" w:author="Martín Illanes" w:date="2026-01-01T00:00:00-03:00" w:initials="MI">
    <w:p>
      <w:r>
        <w:t xml:space="preserve">[MI-07] Escenarios calibrados sobre protección financiera y costo fiscal total, no sobre mix específico entre canales. Los rangos fiscales de los Escenarios 1, 2 y 3 son compatibles con distintas combinaciones de ampliación institucional y cobertura retail. El informe no prescribe un mix operativo específico; esa es decisión de implementación. Responde a Carla Castillo (DOCX129, DOCX131, DOCX145).</w:t>
      </w:r>
    </w:p>
  </w:comment>
  <w:comment w:id="1007" w:author="Martín Illanes" w:date="2026-01-01T00:00:00-03:00" w:initials="MI">
    <w:p>
      <w:r>
        <w:t xml:space="preserve">[MI-08] Unidad de acumulación del tope (cap/stop-loss). El diseño admite varias alternativas con distinta implicancia distributiva: (a) por persona (simple, usa RUT), (b) por hogar (vía Registro Social de Hogares, mayor protección a familias con múltiples enfermos crónicos), (c) por núcleo familiar cotizante, (d) vía sistema tributario como crédito. Recomendación del informe: opción por hogar como prioritaria, bajo el principio de que el hogar es la unidad económica que junta ingresos para financiar medicamentos. Responde a Carla Castillo (DOCX151).</w:t>
      </w:r>
    </w:p>
  </w:comment>
  <w:comment w:id="1008" w:author="Martín Illanes" w:date="2026-01-01T00:00:00-03:00" w:initials="MI">
    <w:p>
      <w:r>
        <w:t xml:space="preserve">[MI-09] Alcance del BFAU: ambulatorio con apertura a alto costo. El diseño original limita el BFAU al segmento ambulatorio no cubierto por GES/LRS/DAC/FOFAR. La observación de Carla Castillo (DOCX149) invita a considerar medicamentos de alto costo fuera de esos regímenes. Decisión: el BFAU opera primordialmente como piso ambulatorio, pero sin excluir alto costo ambulatorio cuando tenga evidencia ISP aprobada. Convergencia de regímenes en horizonte de tercera fase.</w:t>
      </w:r>
    </w:p>
  </w:comment>
  <w:comment w:id="1009" w:author="Martín Illanes" w:date="2026-01-01T00:00:00-03:00" w:initials="MI">
    <w:p>
      <w:r>
        <w:t xml:space="preserve">[MI-10] Riesgo de trasvasaje institucional→retail. Si el beneficio retail mejora demasiado frente a la dispensación institucional, personas que hoy retiran en APS podrían migrar al retail generando gasto fiscal sin mejora sanitaria. Mitigaciones: copagos con incentivo relativo para el canal institucional, monitoreo administrativo, coordinación con ISAPRE para que el BFAU opere como piso (no sustituto). Responde a Carla Castillo (DOCX131).</w:t>
      </w:r>
    </w:p>
  </w:comment>
  <w:comment w:id="1010" w:author="Martín Illanes" w:date="2026-01-01T00:00:00-03:00" w:initials="MI">
    <w:p>
      <w:r>
        <w:t xml:space="preserve">[MI-02] Estado dual: comprador directo + asegurador obligatorio. El Estado chileno opera simultáneamente como (i) comprador directo vía programas propios (Servicios de Salud, PNI, Ricarte Soto, DAC) y (ii) asegurador obligatorio que recauda cotizaciones 7% para financiar FONASA. Esta distinción es metodológicamente relevante aunque el ejercicio presupuestario reporta el gasto agregado sin etiquetar la fuente. Responde a Carla Castillo (DOCX40).</w:t>
      </w:r>
    </w:p>
  </w:comment>
  <w:comment w:id="1011" w:author="Martín Illanes" w:date="2026-01-01T00:00:00-03:00" w:initials="MI">
    <w:p>
      <w:r>
        <w:t xml:space="preserve">[MI-11] Principio 'lo gratis sigue gratis'. El BFAU no quita beneficios actuales (APS arsenal, GES tramo A/B). Agrega una capa focalizada por exposición al gasto, no homogeneiza canastas universalmente. Para afiliados ISAPRE: accede al subsidio BFAU cuando el gasto de bolsillo acumulado supera el tope, sin modificar su plan base. Responde a Carla Castillo (DOCX140).</w:t>
      </w:r>
    </w:p>
  </w:comment>
  <w:comment w:id="1020" w:author="Martín Illanes" w:date="2026-01-01T00:00:00-03:00" w:initials="MI">
    <w:p>
      <w:r>
        <w:t xml:space="preserve">[MI-12] Financiamiento abierto: no nos casamos con un mecanismo. El informe presenta opciones (fondos públicos con cargo a presupuesto nacional; cotización adicional; FONASA+ISAPRE con sus propias fuentes con piso regulatorio; combinaciones híbridas). La recomendación implícita es que, siendo un beneficio universal, el financiamiento principal provenga del fisco general, pero la decisión específica queda abierta para el debate político. Responde a Carla Castillo (DOCX157).</w:t>
      </w:r>
    </w:p>
  </w:comment>
  <w:comment w:id="1021" w:author="Martín Illanes" w:date="2026-01-01T00:00:00-03:00" w:initials="MI">
    <w:p>
      <w:r>
        <w:t xml:space="preserve">[MI-13] Modificaciones legales a compras públicas. La habilitación del mecanismo de 'no dispensación' requiere ajustes a la Ley de Compras Públicas y normativa CENABAST. El principio rector: el paciente siempre tiene garantizado el acceso oportuno; quiebres de stock no pueden trasladarse como carga financiera o retraso terapéutico al hogar. Se agrega esta precisión como condición habilitante del Cap 7. Responde a Carla Castillo (DOCX166).</w:t>
      </w:r>
    </w:p>
  </w:comment>
  <w:comment w:id="1022" w:author="Martín Illanes" w:date="2026-01-01T00:00:00-03:00" w:initials="MI">
    <w:p>
      <w:r>
        <w:t xml:space="preserve">[MI-14] Trasvasaje entre modalidades y subsistemas. El riesgo MAI→MLE (Carla DOCX171) es instancia del riesgo general de desbalance por incentivos. Mitigaciones aplicables simétricamente a todas las migraciones posibles (MAI↔MLE, FONASA↔ISAPRE, institucional↔retail): copagos diferenciados, monitoreo administrativo, coordinación inter-subsistemas. Responde a Carla Castillo (DOCX171).</w:t>
      </w:r>
    </w:p>
  </w:comment>
  <w:comment w:id="3001" w:author="Martín Illanes" w:date="2026-01-01T00:00:00-03:00" w:initials="MI">
    <w:p>
      <w:r>
        <w:t xml:space="preserve">[MI-20] Ficha Chile verificada contra OECD SHA 2022 (dataflow OECD.ELS.HD,DSD_SHA@DF_SHA, HC51 USD PPA per capita, precios constantes): Total 394,2 / HF1 100,7 (26%) / HF2 12,1 (3%) / HF3 281,3 (71%). Coincide con la Ficha. Conviene anadir las tres subcuentas HF1/HF2/HF3 explicitamente en la tarjeta para facilitar la comparacion con el resto de fichas.</w:t>
      </w:r>
    </w:p>
  </w:comment>
  <w:comment w:id="3002" w:author="Martín Illanes" w:date="2026-01-01T00:00:00-03:00" w:initials="MI">
    <w:p>
      <w:r>
        <w:t xml:space="preserve">[MI-21] CRITICO: las fichas individuales del Anexo 6 reportan totales per capita y % gasto de bolsillo que DIFIEREN significativamente de Tabla 4 (Anexo 4) y del Google Sheet del autor. Ejemplos: Alemania Anexo 6 total=$839 vs Tabla 4=$1.038 (diff 19%); Dinamarca $496 vs $389 (+27%); Espana $424 vs $605 (-30%); Francia $629 vs $807 (-22%); Japon $667 vs $847 (-21%); Corea $533 vs $773 (-31%). Los porcentajes de bolsillo tambien divergen: Alemania 13,6% vs 18% (Tabla 4 HC51); Suecia 9,5% vs 45%. La explicacion mas probable: Anexo 6 usa OOP como % de gasto total en salud (no HC51), y Total per capita puede estar en USD corrientes (no PPA) o provenir de otra fuente (posiblemente OECD Health at a Glance 2023 con ano 2021). Recomendacion: unificar fuente y metodologia. Si se mantiene Anexo 6 con scope distinto, declarar explicitamente la fuente, ano y denominador (ej: 'OOP como % del gasto total en salud, OECD Health Statistics') y eliminar ambiguedad 'US$ 2022' vs 'US$ corrientes' vs 'US$ PPA'. De lo contrario, reemplazar por valores coherentes con Tabla 4 (OECD SHA HC51 USD PPA 2022).</w:t>
      </w:r>
    </w:p>
  </w:comment>
  <w:comment w:id="3003" w:author="Martín Illanes" w:date="2026-01-01T00:00:00-03:00" w:initials="MI">
    <w:p>
      <w:r>
        <w:t xml:space="preserve">[MI-23] Argentina, Colombia y Peru no son miembros OECD y no aparecen en OECD SHA; tampoco estan en el Google Sheet del autor (18 paises). Las fichas Anexo 6 muestran 'N/D' en medicamentos para Argentina y Colombia, lo cual es correcto dadas las limitaciones de datos. Peru no tiene ficha en el informe. Si se desea incorporar datos para estos paises, recurrir a WHO GHED (Global Health Expenditure Database) que cubre los tres con datos 2021-2022, o al BID (Banco Interamericano de Desarrollo) para estimaciones LATAM.</w:t>
      </w:r>
    </w:p>
  </w:comment>
  <w:comment w:id="3004" w:author="Martín Illanes" w:date="2026-01-01T00:00:00-03:00" w:initials="MI">
    <w:p>
      <w:r>
        <w:t xml:space="preserve">[MI-24] Ficha Brasil LATAM (Anexo 7): total $158, bolsillo $42, % 18,2%. Google Sheet / OECD SHA 2022 HC51 para Brasil: total US$ 329,9 PPA, bolsillo US$ 301,2, % bolsillo 91%. Discrepancia de 52% en el total y factor 5x en el %. Brasil SI esta en OECD SHA (es pais asociado). La cifra 91% bolsillo refleja la realidad documentada: SUS sin copago en dispensacion publica + Farmacia Popular con descuentos, pero la mayor parte del gasto privado en farmacia retail es OOP. Recomendacion: adoptar cifras OECD SHA 2022 HC51 para Brasil (consistentes con Tabla 4) y redactar la nota cualitativa sobre SUS/Farmacia Popular separadamente.</w:t>
      </w:r>
    </w:p>
  </w:comment>
  <w:comment w:id="3005" w:author="Martín Illanes" w:date="2026-01-01T00:00:00-03:00" w:initials="MI">
    <w:p>
      <w:r>
        <w:t xml:space="preserve">[MI-25] Ficha Costa Rica LATAM (Anexo 7): total $90, bolsillo $20, % 9,2%. Google Sheet / OECD SHA 2022 HC51: total US$ 144,6 PPA, bolsillo US$ 141,9, % bolsillo 98%. Discrepancia grande (38% total, factor 11x en %). Costa Rica SI esta en OECD (pais miembro desde 2021). La cifra 98% bolsillo es consistente con lo citado en el cuerpo del informe (parrafo 0648: 'Costa Rica... gasto retail de bolsillo cercano al 98%'). Hay contradiccion entre el parrafo del cap. 5 y la ficha del Anexo 7. Recomendacion: adoptar cifras OECD SHA 2022 HC51.</w:t>
      </w:r>
    </w:p>
  </w:comment>
  <w:comment w:id="3006" w:author="Martín Illanes" w:date="2026-01-01T00:00:00-03:00" w:initials="MI">
    <w:p>
      <w:r>
        <w:t xml:space="preserve">[MI-26] Ficha Mexico LATAM (Anexo 7): total $136, bolsillo $53, % 21,0%. Google Sheet / OECD SHA 2022 HC51: total US$ 250,7 PPA, bolsillo US$ 242,1, % bolsillo 97%. Discrepancia 46% total, factor 4,6x en %. El parrafo 0648 del informe cita correctamente: 'Mexico mantiene participaciones de bolsillo en farmacia retail sobre el 96% (OCDE 2022)', pero la ficha del Anexo 7 contradice este valor. Recomendacion: adoptar cifras OECD SHA 2022 HC51 (consistentes con el cuerpo del cap. 5 y con Tabla 4).</w:t>
      </w:r>
    </w:p>
  </w:comment>
  <w:comment w:id="3007" w:author="Martín Illanes" w:date="2026-01-01T00:00:00-03:00" w:initials="MI">
    <w:p>
      <w:r>
        <w:t xml:space="preserve">[MI-28] Estados Unidos aparece en Tabla 4 (HC51 USD PPA 2022: total US$ 1.401,7, bolsillo US$ 455,4, 32%) pero NO tiene ficha individual en el Anexo 6. Dado que se declara como caso de contraste, convendria anadir una ficha minima con al menos arquitectura del sistema (Medicare/Medicaid/ESI/ACA), fuentes de gasto (PBMs, Medicare Part D) y politica de precios (IRA 2022). La ausencia de ficha deja un hueco en el anexo.</w:t>
      </w:r>
    </w:p>
  </w:comment>
  <w:comment w:id="4001" w:author="Martín Illanes" w:date="2026-01-01T00:00:00-03:00" w:initials="MI">
    <w:p>
      <w:r>
        <w:t xml:space="preserve">[MI-60] Arquitectura de los mensajes clave. Reorganización v3.15: se elimina la redundancia entre mensajes 1 y 2 (ambos decían 'medicamentos fuera del plan salvo GES/LRS/DAC/FOFAR'). Se incorporan dos ejes globales levantados por CIF: (a) judicialización como síntoma de vacío del beneficio explícito, y (b) mecanismo de acceso a innovación farmacéutica con valor sanitario. Estos temas estaban desarrollados en capítulos 3 y 5 pero no aparecían en los mensajes clave.</w:t>
      </w:r>
    </w:p>
  </w:comment>
  <w:comment w:id="4002" w:author="Martín Illanes" w:date="2026-01-01T00:00:00-03:00" w:initials="MI">
    <w:p>
      <w:r>
        <w:t xml:space="preserve">[MI-61] Revisión editorial del Resumen Ejecutivo. Objetivos: (i) eliminar redundancias con mensajes clave; (ii) reducir oraciones de 60+ palabras; (iii) quitar pleonasmos ('la protección convendría sea efectiva'); (iv) uniformar terminología 'canal retail' como término técnico OECD HC51.</w:t>
      </w:r>
    </w:p>
  </w:comment>
  <w:comment w:id="4003" w:author="Martín Illanes" w:date="2026-01-01T00:00:00-03:00" w:initials="MI">
    <w:p>
      <w:r>
        <w:t xml:space="preserve">[MI-62] Sección 2.4 preserva solo header + tabla. Los párrafos introductorios que se perdieron en iteraciones previas no se reintroducen porque la tabla es suficientemente autocontenida. Si CIF/EP requiere texto de contexto, se puede incorporar en v3.16.</w:t>
      </w:r>
    </w:p>
  </w:comment>
  <w:comment w:id="4004" w:author="Martín Illanes" w:date="2026-01-01T00:00:00-03:00" w:initials="MI">
    <w:p>
      <w:r>
        <w:t xml:space="preserve">[MI-63] Judicialización como síntoma estructural: lectura alineada con Vargas-Pelaez et al. (2019). La cifra $175-269 mil millones CLP (2024) proviene de reportes de ejecución LRS del MINSAL; se incorpora referencia explícita en v3.15. Si la fuente exacta requiere especificar el documento, se puede adjuntar en anexo o reemplazar por un rango menos puntual.</w:t>
      </w:r>
    </w:p>
  </w:comment>
  <w:comment w:id="4005" w:author="Martín Illanes" w:date="2026-01-01T00:00:00-03:00" w:initials="MI">
    <w:p>
      <w:r>
        <w:t xml:space="preserve">[MI-70] Pregunta 5 alineada con feedback global de CIF sobre mecanismos de acceso a innovación. El seminario podría profundizar en tres instrumentos concretos ya discutidos en Cap 7.8: (a) acuerdos basados en resultados (outcomes-based agreements), (b) acuerdos price-volume con techos de gasto, y (c) descuentos condicionados a reevaluación por HTA. La experiencia alemana (AMNOG), inglesa (NICE) e italiana (AIFA, registros MEA) son referentes documentados.</w:t>
      </w:r>
    </w:p>
  </w:comment>
  <w:comment w:id="4006" w:author="Martín Illanes" w:date="2026-01-01T00:00:00-03:00" w:initials="MI">
    <w:p>
      <w:r>
        <w:t xml:space="preserve">[MI-71] Pregunta 6 conecta con Cap 3.2.6 donde se desarrolla la judicialización como síntoma estructural (lectura Vargas-Pelaez et al., 2019) y con la propuesta de un mecanismo excepcional fuera de canasta (Cap 7.7) trazable y auditable. La respuesta convencionalmente no pasa por restringir acceso judicial sino por cerrar las brechas que lo hacen necesario.</w:t>
      </w:r>
    </w:p>
  </w:comment>
  <w:comment w:id="4007" w:author="Martín Illanes" w:date="2026-01-01T00:00:00-03:00" w:initials="MI">
    <w:p>
      <w:r>
        <w:t xml:space="preserve">[MI-80] Párrafo agregado en Resumen Ejec aceptando EU-SUG26. Profundización conceptual sobre las dos lógicas de riesgo (acumulativo vs catastrófico) y su correspondencia con dos tipos de instrumento (beneficio ambulatorio continuo vs régimen específico de alto costo). Refuerza la arquitectura propuesta.</w:t>
      </w:r>
    </w:p>
  </w:comment>
  <w:comment w:id="4008" w:author="Martín Illanes" w:date="2026-01-01T00:00:00-03:00" w:initials="MI">
    <w:p>
      <w:r>
        <w:t xml:space="preserve">[MI-81] Apertura del Cap 8 reformulada para aceptar DOCX-20/C-CC-EMAIL1 (Carla) y alineación con Eduardo: el informe explicita que las conclusiones definitivas quedan abiertas hasta después del seminario. Las ocho preguntas del Cap 8.2 funcionan como mapa del debate.</w:t>
      </w:r>
    </w:p>
  </w:comment>
  <w:comment w:id="4009" w:author="Martín Illanes" w:date="2026-01-01T00:00:00-03:00" w:initials="MI">
    <w:p>
      <w:r>
        <w:t xml:space="preserve">[MI-82] Aclaración agregada en Cap 2.4 aceptando CC-DOCX47 (Carla). Define 'reglas del beneficio' (canasta, indicación, elegibilidad, copagos, topes) y 'reglas de red' (prestador, modalidad de pago, trazabilidad), y remite a Cap 3.2.3 sobre brecha de acceso efectivo.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C">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4"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5">
    <w:pPr>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6">
    <w:pPr>
      <w:spacing w:after="0" w:line="360" w:lineRule="auto"/>
      <w:jc w:val="center"/>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6"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7">
    <w:pPr>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8">
    <w:pPr>
      <w:spacing w:after="0" w:line="360" w:lineRule="auto"/>
      <w:jc w:val="center"/>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5"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D">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E">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3"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F">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0">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9"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1">
    <w:pPr>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2">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8"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3">
    <w:pPr>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4">
    <w:pPr>
      <w:jc w:val="center"/>
      <w:rPr>
        <w:color w:val="999999"/>
      </w:rPr>
    </w:pP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-938211</wp:posOffset>
          </wp:positionH>
          <wp:positionV relativeFrom="paragraph">
            <wp:posOffset>664242</wp:posOffset>
          </wp:positionV>
          <wp:extent cx="10101263" cy="144000"/>
          <wp:effectExtent b="0" l="0" r="0" t="0"/>
          <wp:wrapNone/>
          <wp:docPr id="17" name="image6.png"/>
          <a:graphic>
            <a:graphicData uri="http://schemas.openxmlformats.org/drawingml/2006/picture">
              <pic:pic>
                <pic:nvPicPr>
                  <pic:cNvPr id="0" name="image6.png"/>
                  <pic:cNvPicPr preferRelativeResize="0"/>
                </pic:nvPicPr>
                <pic:blipFill>
                  <a:blip r:embed="rId1"/>
                  <a:srcRect b="18941" l="0" r="0" t="18941"/>
                  <a:stretch>
                    <a:fillRect/>
                  </a:stretch>
                </pic:blipFill>
                <pic:spPr>
                  <a:xfrm>
                    <a:off x="0" y="0"/>
                    <a:ext cx="10101263" cy="144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1">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2">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3">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4">
    <w:pPr>
      <w:spacing w:after="0" w:line="276" w:lineRule="auto"/>
      <w:ind w:right="5108.031496062993"/>
      <w:jc w:val="left"/>
      <w:rPr>
        <w:color w:val="999999"/>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5">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6">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7">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8">
    <w:pPr>
      <w:spacing w:after="0" w:line="276" w:lineRule="auto"/>
      <w:ind w:right="5108.031496062993"/>
      <w:jc w:val="left"/>
      <w:rPr>
        <w:color w:val="999999"/>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9">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A">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B">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C">
    <w:pPr>
      <w:spacing w:after="0" w:line="276" w:lineRule="auto"/>
      <w:ind w:right="5108.031496062993"/>
      <w:jc w:val="left"/>
      <w:rPr>
        <w:color w:val="999999"/>
        <w:sz w:val="18"/>
        <w:szCs w:val="18"/>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D">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E">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F">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0">
    <w:pPr>
      <w:spacing w:after="0" w:line="276" w:lineRule="auto"/>
      <w:ind w:right="5108.031496062993"/>
      <w:jc w:val="left"/>
      <w:rPr>
        <w:color w:val="999999"/>
        <w:sz w:val="18"/>
        <w:szCs w:val="18"/>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1">
    <w:pPr>
      <w:spacing w:after="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2">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3">
    <w:pPr>
      <w:pStyle w:val="Heading2"/>
      <w:tabs>
        <w:tab w:val="right" w:leader="none" w:pos="840"/>
      </w:tabs>
      <w:spacing w:after="100" w:before="100" w:lineRule="auto"/>
      <w:ind w:firstLine="1700.7874015748032"/>
      <w:rPr/>
    </w:pPr>
    <w:bookmarkStart w:colFirst="0" w:colLast="0" w:name="_hltk2sfygdvi" w:id="153"/>
    <w:bookmarkEnd w:id="153"/>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4">
    <w:pPr>
      <w:spacing w:after="0" w:lineRule="auto"/>
      <w:ind w:right="5108.031496062993"/>
      <w:jc w:val="left"/>
      <w:rPr>
        <w:color w:val="999999"/>
        <w:sz w:val="18"/>
        <w:szCs w:val="18"/>
      </w:rPr>
    </w:pP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414000</wp:posOffset>
          </wp:positionV>
          <wp:extent cx="1114425" cy="376820"/>
          <wp:effectExtent b="0" l="0" r="0" t="0"/>
          <wp:wrapNone/>
          <wp:docPr id="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1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5">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6">
    <w:pPr>
      <w:spacing w:after="0"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7">
    <w:pPr>
      <w:spacing w:after="0" w:lineRule="auto"/>
      <w:ind w:right="5108.031496062993"/>
      <w:jc w:val="left"/>
      <w:rPr>
        <w:color w:val="999999"/>
        <w:sz w:val="18"/>
        <w:szCs w:val="18"/>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8">
    <w:pPr>
      <w:spacing w:after="0" w:lineRule="auto"/>
      <w:ind w:right="5108.031496062993"/>
      <w:jc w:val="left"/>
      <w:rPr>
        <w:color w:val="999999"/>
        <w:sz w:val="18"/>
        <w:szCs w:val="18"/>
      </w:rPr>
    </w:pP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414000</wp:posOffset>
          </wp:positionV>
          <wp:extent cx="1114425" cy="376820"/>
          <wp:effectExtent b="0" l="0" r="0" t="0"/>
          <wp:wrapNone/>
          <wp:docPr id="1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1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9">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A">
    <w:pPr>
      <w:spacing w:after="0"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B">
    <w:pPr>
      <w:spacing w:after="0" w:lineRule="auto"/>
      <w:ind w:right="5108.031496062993"/>
      <w:jc w:val="left"/>
      <w:rPr>
        <w:color w:val="999999"/>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after="100" w:before="100" w:line="312"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tabs>
        <w:tab w:val="right" w:leader="none" w:pos="840"/>
      </w:tabs>
      <w:spacing w:after="180" w:before="180" w:line="312" w:lineRule="auto"/>
      <w:ind w:left="1700.7874015748032"/>
    </w:pPr>
    <w:rPr>
      <w:b w:val="1"/>
      <w:bCs w:val="1"/>
      <w:sz w:val="32"/>
      <w:szCs w:val="32"/>
    </w:rPr>
  </w:style>
  <w:style w:type="paragraph" w:styleId="Heading2">
    <w:name w:val="heading 2"/>
    <w:basedOn w:val="Normal"/>
    <w:next w:val="Normal"/>
    <w:pPr>
      <w:keepNext w:val="1"/>
      <w:keepLines w:val="1"/>
      <w:tabs>
        <w:tab w:val="right" w:leader="none" w:pos="840"/>
      </w:tabs>
      <w:spacing w:after="180" w:before="180" w:line="312" w:lineRule="auto"/>
      <w:ind w:left="1700.7874015748032"/>
    </w:pPr>
    <w:rPr>
      <w:b w:val="1"/>
      <w:bCs w:val="1"/>
      <w:sz w:val="28"/>
      <w:szCs w:val="28"/>
    </w:rPr>
  </w:style>
  <w:style w:type="paragraph" w:styleId="Heading3">
    <w:name w:val="heading 3"/>
    <w:basedOn w:val="Normal"/>
    <w:next w:val="Normal"/>
    <w:pPr>
      <w:keepNext w:val="1"/>
      <w:keepLines w:val="1"/>
      <w:spacing w:after="100" w:before="100" w:line="312" w:lineRule="auto"/>
      <w:ind w:left="1133.858267716535"/>
    </w:pPr>
    <w:rPr>
      <w:b w:val="1"/>
      <w:bCs w:val="1"/>
      <w:sz w:val="24"/>
      <w:szCs w:val="24"/>
    </w:rPr>
  </w:style>
  <w:style w:type="paragraph" w:styleId="Heading4">
    <w:name w:val="heading 4"/>
    <w:basedOn w:val="Normal"/>
    <w:next w:val="Normal"/>
    <w:pPr>
      <w:keepNext w:val="1"/>
      <w:keepLines w:val="1"/>
      <w:tabs>
        <w:tab w:val="left" w:leader="none" w:pos="1700.787401574803"/>
      </w:tabs>
      <w:spacing w:after="100" w:before="100" w:line="312" w:lineRule="auto"/>
      <w:ind w:right="-136.062992125984"/>
      <w:jc w:val="left"/>
    </w:pPr>
    <w:rPr>
      <w:b w:val="1"/>
      <w:bCs w:val="1"/>
    </w:rPr>
  </w:style>
  <w:style w:type="paragraph" w:styleId="Heading5">
    <w:name w:val="heading 5"/>
    <w:basedOn w:val="Normal"/>
    <w:next w:val="Normal"/>
    <w:pPr>
      <w:keepNext w:val="1"/>
      <w:keepLines w:val="1"/>
      <w:spacing w:after="200" w:before="240" w:lineRule="auto"/>
      <w:jc w:val="left"/>
    </w:pPr>
    <w:rPr>
      <w:b w:val="1"/>
      <w:bCs w:val="1"/>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180" w:before="240" w:line="276" w:lineRule="auto"/>
      <w:ind w:left="1559.0551181102362" w:right="1564.7244094488196" w:firstLine="0"/>
      <w:jc w:val="center"/>
    </w:pPr>
    <w:rPr>
      <w:rFonts w:ascii="Arial" w:cs="Arial" w:eastAsia="Arial" w:hAnsi="Arial"/>
      <w:b w:val="1"/>
      <w:bCs w:val="1"/>
      <w:sz w:val="36"/>
      <w:szCs w:val="36"/>
    </w:rPr>
  </w:style>
  <w:style w:type="paragraph" w:styleId="Subtitle">
    <w:name w:val="Subtitle"/>
    <w:basedOn w:val="Normal"/>
    <w:next w:val="Normal"/>
    <w:pPr>
      <w:keepNext w:val="1"/>
      <w:keepLines w:val="1"/>
      <w:spacing w:after="0" w:line="320" w:lineRule="auto"/>
      <w:jc w:val="center"/>
    </w:pPr>
    <w:rPr>
      <w:b w:val="1"/>
      <w:bCs w:val="1"/>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33.png"/><Relationship Id="rId41" Type="http://schemas.openxmlformats.org/officeDocument/2006/relationships/image" Target="media/image34.png"/><Relationship Id="rId44" Type="http://schemas.openxmlformats.org/officeDocument/2006/relationships/image" Target="media/image28.png"/><Relationship Id="rId43"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2.xml"/><Relationship Id="rId48" Type="http://schemas.openxmlformats.org/officeDocument/2006/relationships/image" Target="media/image12.png"/><Relationship Id="rId47" Type="http://schemas.openxmlformats.org/officeDocument/2006/relationships/image" Target="media/image36.png"/><Relationship Id="rId49"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oecd-ilibrary.org/en/publications/health-at-a-glance-2023_7a7afb35-en/full-report/pharmaceutical-expenditure_a58c1da0.html?utm_source=chatgpt.com" TargetMode="External"/><Relationship Id="rId30" Type="http://schemas.openxmlformats.org/officeDocument/2006/relationships/image" Target="media/image21.png"/><Relationship Id="rId33" Type="http://schemas.openxmlformats.org/officeDocument/2006/relationships/header" Target="header4.xml"/><Relationship Id="rId32" Type="http://schemas.openxmlformats.org/officeDocument/2006/relationships/image" Target="media/image26.png"/><Relationship Id="rId35" Type="http://schemas.openxmlformats.org/officeDocument/2006/relationships/footer" Target="footer8.xml"/><Relationship Id="rId34" Type="http://schemas.openxmlformats.org/officeDocument/2006/relationships/footer" Target="footer7.xml"/><Relationship Id="rId37" Type="http://schemas.openxmlformats.org/officeDocument/2006/relationships/header" Target="header5.xml"/><Relationship Id="rId36" Type="http://schemas.openxmlformats.org/officeDocument/2006/relationships/hyperlink" Target="https://www.oecd-ilibrary.org/en/publications/health-at-a-glance-2023_7a7afb35-en/full-report/pharmaceutical-expenditure_a58c1da0.html?utm_source=chatgpt.com" TargetMode="External"/><Relationship Id="rId39" Type="http://schemas.openxmlformats.org/officeDocument/2006/relationships/footer" Target="footer10.xml"/><Relationship Id="rId38" Type="http://schemas.openxmlformats.org/officeDocument/2006/relationships/footer" Target="footer9.xml"/><Relationship Id="rId62" Type="http://schemas.openxmlformats.org/officeDocument/2006/relationships/footer" Target="footer11.xml"/><Relationship Id="rId61" Type="http://schemas.openxmlformats.org/officeDocument/2006/relationships/header" Target="header6.xml"/><Relationship Id="rId20" Type="http://schemas.openxmlformats.org/officeDocument/2006/relationships/image" Target="media/image29.png"/><Relationship Id="rId64" Type="http://schemas.openxmlformats.org/officeDocument/2006/relationships/image" Target="media/image13.jpg"/><Relationship Id="rId63" Type="http://schemas.openxmlformats.org/officeDocument/2006/relationships/footer" Target="footer12.xml"/><Relationship Id="rId22" Type="http://schemas.openxmlformats.org/officeDocument/2006/relationships/image" Target="media/image9.png"/><Relationship Id="rId66" Type="http://schemas.openxmlformats.org/officeDocument/2006/relationships/footer" Target="footer13.xml"/><Relationship Id="rId21" Type="http://schemas.openxmlformats.org/officeDocument/2006/relationships/image" Target="media/image15.png"/><Relationship Id="rId65" Type="http://schemas.openxmlformats.org/officeDocument/2006/relationships/header" Target="header7.xml"/><Relationship Id="rId24" Type="http://schemas.openxmlformats.org/officeDocument/2006/relationships/image" Target="media/image7.png"/><Relationship Id="rId23" Type="http://schemas.openxmlformats.org/officeDocument/2006/relationships/hyperlink" Target="https://www.oecd-ilibrary.org/en/publications/health-at-a-glance-2023_7a7afb35-en/full-report/pharmaceutical-expenditure_a58c1da0.html?utm_source=chatgpt.com" TargetMode="External"/><Relationship Id="rId67" Type="http://schemas.openxmlformats.org/officeDocument/2006/relationships/footer" Target="footer14.xml"/><Relationship Id="rId60" Type="http://schemas.openxmlformats.org/officeDocument/2006/relationships/image" Target="media/image1.png"/><Relationship Id="rId26" Type="http://schemas.openxmlformats.org/officeDocument/2006/relationships/image" Target="media/image2.png"/><Relationship Id="rId25" Type="http://schemas.openxmlformats.org/officeDocument/2006/relationships/hyperlink" Target="https://www.oecd-ilibrary.org/en/publications/health-at-a-glance-2023_7a7afb35-en/full-report/pharmaceutical-expenditure_a58c1da0.html?utm_source=chatgpt.com" TargetMode="External"/><Relationship Id="rId28" Type="http://schemas.openxmlformats.org/officeDocument/2006/relationships/image" Target="media/image35.png"/><Relationship Id="rId27" Type="http://schemas.openxmlformats.org/officeDocument/2006/relationships/hyperlink" Target="https://www.oecd-ilibrary.org/en/publications/health-at-a-glance-2023_7a7afb35-en/full-report/pharmaceutical-expenditure_a58c1da0.html?utm_source=chatgpt.com" TargetMode="External"/><Relationship Id="rId29" Type="http://schemas.openxmlformats.org/officeDocument/2006/relationships/hyperlink" Target="https://www.oecd-ilibrary.org/en/publications/health-at-a-glance-2023_7a7afb35-en/full-report/pharmaceutical-expenditure_a58c1da0.html?utm_source=chatgpt.com" TargetMode="External"/><Relationship Id="rId51" Type="http://schemas.openxmlformats.org/officeDocument/2006/relationships/image" Target="media/image25.png"/><Relationship Id="rId50" Type="http://schemas.openxmlformats.org/officeDocument/2006/relationships/image" Target="media/image23.png"/><Relationship Id="rId53" Type="http://schemas.openxmlformats.org/officeDocument/2006/relationships/image" Target="media/image19.png"/><Relationship Id="rId52" Type="http://schemas.openxmlformats.org/officeDocument/2006/relationships/image" Target="media/image11.png"/><Relationship Id="rId11" Type="http://schemas.openxmlformats.org/officeDocument/2006/relationships/image" Target="media/image18.png"/><Relationship Id="rId55" Type="http://schemas.openxmlformats.org/officeDocument/2006/relationships/image" Target="media/image20.png"/><Relationship Id="rId10" Type="http://schemas.openxmlformats.org/officeDocument/2006/relationships/image" Target="media/image27.jpg"/><Relationship Id="rId54" Type="http://schemas.openxmlformats.org/officeDocument/2006/relationships/image" Target="media/image8.png"/><Relationship Id="rId13" Type="http://schemas.openxmlformats.org/officeDocument/2006/relationships/image" Target="media/image16.png"/><Relationship Id="rId57" Type="http://schemas.openxmlformats.org/officeDocument/2006/relationships/image" Target="media/image17.png"/><Relationship Id="rId12" Type="http://schemas.openxmlformats.org/officeDocument/2006/relationships/image" Target="media/image22.png"/><Relationship Id="rId56" Type="http://schemas.openxmlformats.org/officeDocument/2006/relationships/image" Target="media/image14.png"/><Relationship Id="rId15" Type="http://schemas.openxmlformats.org/officeDocument/2006/relationships/footer" Target="footer3.xml"/><Relationship Id="rId59" Type="http://schemas.openxmlformats.org/officeDocument/2006/relationships/image" Target="media/image4.png"/><Relationship Id="rId14" Type="http://schemas.openxmlformats.org/officeDocument/2006/relationships/header" Target="header2.xml"/><Relationship Id="rId58" Type="http://schemas.openxmlformats.org/officeDocument/2006/relationships/image" Target="media/image3.png"/><Relationship Id="rId17" Type="http://schemas.openxmlformats.org/officeDocument/2006/relationships/header" Target="header3.xml"/><Relationship Id="rId16" Type="http://schemas.openxmlformats.org/officeDocument/2006/relationships/footer" Target="footer4.xml"/><Relationship Id="rId19" Type="http://schemas.openxmlformats.org/officeDocument/2006/relationships/footer" Target="footer6.xml"/><Relationship Id="rId18" Type="http://schemas.openxmlformats.org/officeDocument/2006/relationships/footer" Target="footer5.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